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松山湖国际创新创业社区专项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资金拟资助名单和资金安排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80" w:lineRule="exact"/>
        <w:jc w:val="right"/>
        <w:rPr>
          <w:b w:val="0"/>
          <w:bCs w:val="0"/>
          <w:kern w:val="0"/>
          <w:sz w:val="32"/>
          <w:szCs w:val="32"/>
        </w:rPr>
      </w:pPr>
      <w:r>
        <w:rPr>
          <w:rFonts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kern w:val="0"/>
          <w:sz w:val="32"/>
          <w:szCs w:val="32"/>
        </w:rPr>
        <w:t>单位：元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28"/>
        <w:gridCol w:w="2400"/>
        <w:gridCol w:w="1413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7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拟资助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金额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新入驻租金补贴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（办法第十一条第（一）款，对符合第七条第（二）款第1、2点入驻条件的项目，入驻后第一年分别给予不超过300平方米和500平方米租金全额补贴，第二年和第三年减半补贴；超面积部分不享受租金补贴。）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东莞小豚智能技术有限公司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24082.5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补贴面积500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30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东莞链芯半导体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35544.22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申请补贴面积322.86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时间202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东莞方泰新材料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13875.96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165.6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时间202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东莞市威狮数控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设备有限公司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9434.3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180.41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麦克斯（广东）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纳米科技有限公司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40359.88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347.93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东莞市乐升电子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45817.55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申请补贴面积500㎡，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东莞市加伏锂电材料有限公司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23902.02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申请补贴面积217.11㎡，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广东艾博尔科技有限公司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19152.11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申请补贴面积347.93㎡，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.7.1-2022.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东莞立派生物科技有限公司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10678.89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申请补贴面积97㎡，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中科声学（东莞）科技有限公司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282184.13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申请补贴面积2929.34㎡，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东莞磐云源视科技有限公司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45871.55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申请补贴面积500㎡，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广东青芒光电科技有限公司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21748.52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申请补贴面积164.44㎡，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.1-2022.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广东奇砺新材料科技有限公司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11987.5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申请补贴面积149.33㎡，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东莞市共和电子有限公司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24082.5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申请补贴面积500㎡，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东莞云慧数链科技有限公司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23201.92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申请补贴面积155.37㎡，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东莞赛维莱特电子技术有限公司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23200.96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申请补贴面积139㎡，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广东斯元智能科技有限公司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36255.06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申请补贴面积473㎡，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东莞有数科技有限公司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202140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申请补贴面积404.28㎡，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东莞市芯萌慧显电子科技有限公司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25431.21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申请补贴面积77㎡，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东莞市宏盛达信息技术有限公司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145758.19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申请补贴面积418.38㎡，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广东云创氢电科技有限公司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86717.76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申请补贴面积424.47㎡，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东莞市元生智能科技有限公司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34222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申请补贴面积171.77㎡，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广东艾百智能科技有限公司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8477.07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申请补贴面积77㎡，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东莞市均谊视觉科技有限公司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9725.19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申请补贴面积85.76㎡，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晶熵科技（广东）有限公司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58054.11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申请补贴面积347.81㎡，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东莞市卓聚科技有限公司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56663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申请补贴面积437㎡，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1120" w:hangingChars="4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494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318568.1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创新创业启动资金资助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（办法第十一条第（三）款，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按照到位金额10%给予一次性创新创业启动资金资助，每家企业最高资助50万元。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东莞市元生智能科技有限公司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20万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获得风投200万元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生产厂房租金补贴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（办法第十一条第（二）款，给予实际缴纳租金50%的补贴，每家企业每月租金补贴不超过5万元，补贴时长不超过24个月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东莞市大为工业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50771.74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厂房面积1800㎡，                时间2022.7.1-2022.9.30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94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50771.74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94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156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9339.84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left"/>
        <w:outlineLvl w:val="2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left"/>
        <w:outlineLvl w:val="2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left"/>
        <w:outlineLvl w:val="2"/>
        <w:rPr>
          <w:rFonts w:hint="default" w:eastAsia="黑体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IwZDFjMDIwOTEzZjllNzg3NWQzYjY1MzRlN2MifQ=="/>
  </w:docVars>
  <w:rsids>
    <w:rsidRoot w:val="3C305126"/>
    <w:rsid w:val="071706F5"/>
    <w:rsid w:val="09307BAC"/>
    <w:rsid w:val="14740011"/>
    <w:rsid w:val="29982120"/>
    <w:rsid w:val="3A640E38"/>
    <w:rsid w:val="3C091C72"/>
    <w:rsid w:val="3C305126"/>
    <w:rsid w:val="3FDF38A4"/>
    <w:rsid w:val="442630B2"/>
    <w:rsid w:val="477A2E24"/>
    <w:rsid w:val="4C042101"/>
    <w:rsid w:val="630C5F97"/>
    <w:rsid w:val="64C70869"/>
    <w:rsid w:val="6C554F91"/>
    <w:rsid w:val="6D253764"/>
    <w:rsid w:val="7FA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2022-10-20T03:56:00Z</dcterms:created>
  <dc:creator>倩华</dc:creator>
  <cp:lastModifiedBy>肖星星</cp:lastModifiedBy>
  <dcterms:modified xsi:type="dcterms:W3CDTF">2022-10-31T07:57:30Z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097A717C790F4D1487A2A55CC26CC79D</vt:lpwstr>
  </property>
</Properties>
</file>