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宋体" w:hAnsi="宋体" w:eastAsia="宋体"/>
          <w:sz w:val="32"/>
          <w:szCs w:val="32"/>
          <w:lang w:eastAsia="zh-CN"/>
        </w:rPr>
      </w:pPr>
      <w:r>
        <w:rPr>
          <w:rFonts w:hint="eastAsia" w:ascii="宋体" w:hAnsi="宋体"/>
          <w:sz w:val="32"/>
          <w:szCs w:val="32"/>
        </w:rPr>
        <w:t>附件</w:t>
      </w:r>
      <w:r>
        <w:rPr>
          <w:rFonts w:hint="eastAsia" w:ascii="宋体" w:hAnsi="宋体"/>
          <w:sz w:val="32"/>
          <w:szCs w:val="32"/>
          <w:lang w:val="en-US" w:eastAsia="zh-CN"/>
        </w:rPr>
        <w:t>3</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部分检验依据、项目的</w:t>
      </w:r>
      <w:r>
        <w:rPr>
          <w:rFonts w:hint="eastAsia" w:ascii="方正小标宋简体" w:eastAsia="方正小标宋简体"/>
          <w:sz w:val="44"/>
          <w:szCs w:val="44"/>
        </w:rPr>
        <w:t>说明</w:t>
      </w:r>
    </w:p>
    <w:p>
      <w:pPr>
        <w:spacing w:line="600" w:lineRule="exact"/>
        <w:ind w:firstLine="643" w:firstLineChars="200"/>
        <w:rPr>
          <w:rFonts w:ascii="仿宋_GB2312" w:hAnsi="Times New Roman" w:eastAsia="仿宋_GB2312"/>
          <w:b/>
          <w:sz w:val="32"/>
          <w:szCs w:val="32"/>
        </w:rPr>
      </w:pPr>
    </w:p>
    <w:p>
      <w:pPr>
        <w:pStyle w:val="12"/>
        <w:numPr>
          <w:numId w:val="0"/>
        </w:numPr>
        <w:spacing w:line="600" w:lineRule="exact"/>
        <w:ind w:leftChars="204"/>
        <w:jc w:val="both"/>
        <w:rPr>
          <w:rFonts w:hint="eastAsia" w:hAnsi="宋体" w:eastAsia="仿宋_GB2312" w:cs="Times New Roman"/>
          <w:color w:val="auto"/>
          <w:kern w:val="2"/>
          <w:sz w:val="32"/>
          <w:szCs w:val="32"/>
          <w:highlight w:val="none"/>
        </w:rPr>
      </w:pPr>
      <w:r>
        <w:rPr>
          <w:rFonts w:hint="eastAsia" w:ascii="黑体" w:hAnsi="黑体" w:eastAsia="黑体" w:cs="黑体"/>
          <w:color w:val="auto"/>
          <w:kern w:val="2"/>
          <w:sz w:val="32"/>
          <w:szCs w:val="32"/>
          <w:lang w:eastAsia="zh-CN"/>
        </w:rPr>
        <w:t>一、</w:t>
      </w:r>
      <w:r>
        <w:rPr>
          <w:rFonts w:hint="eastAsia" w:ascii="黑体" w:hAnsi="黑体" w:eastAsia="黑体" w:cs="黑体"/>
          <w:color w:val="auto"/>
          <w:kern w:val="2"/>
          <w:sz w:val="32"/>
          <w:szCs w:val="32"/>
        </w:rPr>
        <w:t>抽检依据</w:t>
      </w:r>
    </w:p>
    <w:p>
      <w:pPr>
        <w:pStyle w:val="12"/>
        <w:numPr>
          <w:ilvl w:val="0"/>
          <w:numId w:val="1"/>
        </w:numPr>
        <w:spacing w:line="600" w:lineRule="exact"/>
        <w:ind w:firstLine="640" w:firstLineChars="200"/>
        <w:jc w:val="both"/>
        <w:rPr>
          <w:rFonts w:hint="eastAsia" w:hAnsi="宋体" w:eastAsia="仿宋_GB2312" w:cs="Times New Roman"/>
          <w:color w:val="auto"/>
          <w:kern w:val="2"/>
          <w:sz w:val="32"/>
          <w:szCs w:val="32"/>
        </w:rPr>
      </w:pPr>
      <w:r>
        <w:rPr>
          <w:rFonts w:hint="eastAsia" w:hAnsi="宋体" w:eastAsia="仿宋_GB2312" w:cs="Times New Roman"/>
          <w:color w:val="auto"/>
          <w:kern w:val="2"/>
          <w:sz w:val="32"/>
          <w:szCs w:val="32"/>
          <w:lang w:eastAsia="zh-CN"/>
        </w:rPr>
        <w:t>食用农产品</w:t>
      </w:r>
    </w:p>
    <w:p>
      <w:pPr>
        <w:pStyle w:val="12"/>
        <w:spacing w:line="600" w:lineRule="exact"/>
        <w:ind w:firstLine="640" w:firstLineChars="200"/>
        <w:jc w:val="both"/>
        <w:rPr>
          <w:rFonts w:hint="eastAsia" w:hAnsi="宋体" w:eastAsia="仿宋_GB2312" w:cs="Times New Roman"/>
          <w:color w:val="auto"/>
          <w:kern w:val="2"/>
          <w:sz w:val="32"/>
          <w:szCs w:val="32"/>
          <w:highlight w:val="none"/>
          <w:lang w:eastAsia="zh-CN"/>
        </w:rPr>
      </w:pPr>
      <w:r>
        <w:rPr>
          <w:rFonts w:hint="eastAsia" w:hAnsi="宋体" w:eastAsia="仿宋_GB2312" w:cs="Times New Roman"/>
          <w:color w:val="auto"/>
          <w:kern w:val="2"/>
          <w:sz w:val="32"/>
          <w:szCs w:val="32"/>
          <w:highlight w:val="none"/>
        </w:rPr>
        <w:t>GB 2762-2017《食品安全国家标准 食品中污染物限量》、国家食品药品监督管理总局农业部国家卫生和计划生育委员会关于豆芽生产过程中禁止使用 6-苄基腺嘌呤等物质的公告(2015年第11号)、GB 31650-2019《食品安全国家标准 食品中兽药最大残留限量》</w:t>
      </w:r>
    </w:p>
    <w:p>
      <w:pPr>
        <w:pStyle w:val="12"/>
        <w:numPr>
          <w:ilvl w:val="0"/>
          <w:numId w:val="1"/>
        </w:numPr>
        <w:spacing w:line="600" w:lineRule="exact"/>
        <w:ind w:firstLine="640" w:firstLineChars="200"/>
        <w:jc w:val="both"/>
        <w:rPr>
          <w:rFonts w:hint="eastAsia" w:hAnsi="宋体" w:eastAsia="仿宋_GB2312" w:cs="Times New Roman"/>
          <w:color w:val="auto"/>
          <w:kern w:val="2"/>
          <w:sz w:val="32"/>
          <w:szCs w:val="32"/>
        </w:rPr>
      </w:pPr>
      <w:r>
        <w:rPr>
          <w:rFonts w:hint="eastAsia" w:hAnsi="宋体" w:eastAsia="仿宋_GB2312" w:cs="Times New Roman"/>
          <w:color w:val="auto"/>
          <w:kern w:val="2"/>
          <w:sz w:val="32"/>
          <w:szCs w:val="32"/>
          <w:lang w:val="en-US" w:eastAsia="zh-CN"/>
        </w:rPr>
        <w:t>蔬菜制品</w:t>
      </w:r>
    </w:p>
    <w:p>
      <w:pPr>
        <w:pStyle w:val="12"/>
        <w:spacing w:line="600" w:lineRule="exact"/>
        <w:ind w:firstLine="640" w:firstLineChars="200"/>
        <w:jc w:val="both"/>
        <w:rPr>
          <w:rFonts w:hint="eastAsia" w:hAnsi="宋体" w:eastAsia="仿宋_GB2312" w:cs="Times New Roman"/>
          <w:color w:val="auto"/>
          <w:kern w:val="2"/>
          <w:sz w:val="32"/>
          <w:szCs w:val="32"/>
          <w:highlight w:val="none"/>
        </w:rPr>
      </w:pPr>
      <w:r>
        <w:rPr>
          <w:rFonts w:hint="eastAsia" w:hAnsi="宋体" w:eastAsia="仿宋_GB2312" w:cs="Times New Roman"/>
          <w:color w:val="auto"/>
          <w:kern w:val="2"/>
          <w:sz w:val="32"/>
          <w:szCs w:val="32"/>
          <w:highlight w:val="none"/>
        </w:rPr>
        <w:t>GB 2760- 2014《食品安全国家标准 食品添加剂使用标准》</w:t>
      </w:r>
    </w:p>
    <w:p>
      <w:pPr>
        <w:pStyle w:val="12"/>
        <w:numPr>
          <w:ilvl w:val="0"/>
          <w:numId w:val="1"/>
        </w:numPr>
        <w:spacing w:line="600" w:lineRule="exact"/>
        <w:ind w:firstLine="640" w:firstLineChars="200"/>
        <w:jc w:val="both"/>
        <w:rPr>
          <w:rFonts w:hint="eastAsia" w:hAnsi="宋体" w:eastAsia="仿宋_GB2312" w:cs="Times New Roman"/>
          <w:color w:val="auto"/>
          <w:kern w:val="2"/>
          <w:sz w:val="32"/>
          <w:szCs w:val="32"/>
        </w:rPr>
      </w:pPr>
      <w:r>
        <w:rPr>
          <w:rFonts w:hint="eastAsia" w:hAnsi="宋体" w:eastAsia="仿宋_GB2312" w:cs="Times New Roman"/>
          <w:color w:val="auto"/>
          <w:kern w:val="2"/>
          <w:sz w:val="32"/>
          <w:szCs w:val="32"/>
          <w:lang w:eastAsia="zh-CN"/>
        </w:rPr>
        <w:t>肉制品</w:t>
      </w:r>
    </w:p>
    <w:p>
      <w:pPr>
        <w:pStyle w:val="12"/>
        <w:spacing w:line="600" w:lineRule="exact"/>
        <w:ind w:firstLine="640" w:firstLineChars="200"/>
        <w:jc w:val="both"/>
        <w:rPr>
          <w:rFonts w:hint="eastAsia" w:hAnsi="宋体" w:eastAsia="仿宋_GB2312" w:cs="Times New Roman"/>
          <w:color w:val="auto"/>
          <w:kern w:val="2"/>
          <w:sz w:val="32"/>
          <w:szCs w:val="32"/>
          <w:lang w:eastAsia="zh-CN"/>
        </w:rPr>
      </w:pPr>
      <w:r>
        <w:rPr>
          <w:rFonts w:hint="eastAsia" w:ascii="仿宋" w:hAnsi="仿宋" w:eastAsia="仿宋" w:cs="仿宋"/>
          <w:color w:val="auto"/>
          <w:kern w:val="2"/>
          <w:sz w:val="32"/>
          <w:szCs w:val="32"/>
        </w:rPr>
        <w:t>《食品安全国家标准 腌腊肉制品》GB 2730-2015</w:t>
      </w:r>
    </w:p>
    <w:p>
      <w:pPr>
        <w:pStyle w:val="12"/>
        <w:numPr>
          <w:numId w:val="0"/>
        </w:numPr>
        <w:spacing w:line="600" w:lineRule="exact"/>
        <w:ind w:leftChars="204"/>
        <w:jc w:val="both"/>
        <w:rPr>
          <w:rFonts w:hint="eastAsia" w:hAnsi="宋体" w:eastAsia="仿宋_GB2312" w:cs="Times New Roman"/>
          <w:color w:val="auto"/>
          <w:kern w:val="2"/>
          <w:sz w:val="32"/>
          <w:szCs w:val="32"/>
          <w:highlight w:val="none"/>
        </w:rPr>
      </w:pPr>
      <w:r>
        <w:rPr>
          <w:rFonts w:hint="eastAsia" w:ascii="黑体" w:hAnsi="黑体" w:eastAsia="黑体" w:cs="黑体"/>
          <w:color w:val="auto"/>
          <w:kern w:val="2"/>
          <w:sz w:val="32"/>
          <w:szCs w:val="32"/>
          <w:highlight w:val="none"/>
          <w:lang w:eastAsia="zh-CN"/>
        </w:rPr>
        <w:t>二、</w:t>
      </w:r>
      <w:bookmarkStart w:id="0" w:name="_GoBack"/>
      <w:bookmarkEnd w:id="0"/>
      <w:r>
        <w:rPr>
          <w:rFonts w:hint="eastAsia" w:ascii="黑体" w:hAnsi="黑体" w:eastAsia="黑体" w:cs="黑体"/>
          <w:color w:val="auto"/>
          <w:kern w:val="2"/>
          <w:sz w:val="32"/>
          <w:szCs w:val="32"/>
          <w:highlight w:val="none"/>
          <w:lang w:eastAsia="zh-CN"/>
        </w:rPr>
        <w:t>检验项目的</w:t>
      </w:r>
      <w:r>
        <w:rPr>
          <w:rFonts w:hint="eastAsia" w:ascii="黑体" w:hAnsi="黑体" w:eastAsia="黑体" w:cs="黑体"/>
          <w:color w:val="auto"/>
          <w:kern w:val="2"/>
          <w:sz w:val="32"/>
          <w:szCs w:val="32"/>
          <w:highlight w:val="none"/>
        </w:rPr>
        <w:t>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（一）柠檬黄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柠檬黄如果过量的食用之后对人体是会有伤害的。柠檬黄是属于食品添加剂的一种原料，在果冻里面含有的柠檬黄相对较多。如果过量</w:t>
      </w:r>
      <w:r>
        <w:rPr>
          <w:rFonts w:hint="eastAsia" w:ascii="仿宋" w:hAnsi="仿宋" w:eastAsia="仿宋" w:cs="仿宋"/>
          <w:sz w:val="32"/>
          <w:szCs w:val="32"/>
          <w:lang w:eastAsia="zh-CN"/>
        </w:rPr>
        <w:t>食用</w:t>
      </w:r>
      <w:r>
        <w:rPr>
          <w:rFonts w:hint="eastAsia" w:ascii="仿宋" w:hAnsi="仿宋" w:eastAsia="仿宋" w:cs="仿宋"/>
          <w:sz w:val="32"/>
          <w:szCs w:val="32"/>
        </w:rPr>
        <w:t>柠檬黄，可能会导致儿童智商下降或者引起多动症</w:t>
      </w:r>
      <w:r>
        <w:rPr>
          <w:rFonts w:hint="eastAsia" w:ascii="仿宋" w:hAnsi="仿宋" w:eastAsia="仿宋" w:cs="仿宋"/>
          <w:sz w:val="32"/>
          <w:szCs w:val="32"/>
          <w:lang w:eastAsia="zh-CN"/>
        </w:rPr>
        <w:t>，</w:t>
      </w:r>
      <w:r>
        <w:rPr>
          <w:rFonts w:hint="eastAsia" w:ascii="仿宋" w:hAnsi="仿宋" w:eastAsia="仿宋" w:cs="仿宋"/>
          <w:sz w:val="32"/>
          <w:szCs w:val="32"/>
        </w:rPr>
        <w:t>也可能会引起腹泻或者皮肤出现过敏反应。</w:t>
      </w:r>
    </w:p>
    <w:p>
      <w:pPr>
        <w:pStyle w:val="12"/>
        <w:spacing w:line="600" w:lineRule="exact"/>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（二）4-氯苯氧乙酸钠(以4-氯苯氧乙酸计)</w:t>
      </w:r>
    </w:p>
    <w:p>
      <w:pPr>
        <w:pStyle w:val="12"/>
        <w:spacing w:line="600" w:lineRule="exact"/>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4-氯苯氧乙酸钠的残留会在人体内累积, 长期食用会对人体产生蓄积危害</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如使儿童发育早熟,女性生理发生改变,对人体有致癌、致畸的</w:t>
      </w:r>
      <w:r>
        <w:rPr>
          <w:rFonts w:hint="eastAsia" w:ascii="仿宋" w:hAnsi="仿宋" w:eastAsia="仿宋" w:cs="仿宋"/>
          <w:color w:val="auto"/>
          <w:kern w:val="2"/>
          <w:sz w:val="32"/>
          <w:szCs w:val="32"/>
          <w:lang w:eastAsia="zh-CN"/>
        </w:rPr>
        <w:t>副</w:t>
      </w:r>
      <w:r>
        <w:rPr>
          <w:rFonts w:hint="eastAsia" w:ascii="仿宋" w:hAnsi="仿宋" w:eastAsia="仿宋" w:cs="仿宋"/>
          <w:color w:val="auto"/>
          <w:kern w:val="2"/>
          <w:sz w:val="32"/>
          <w:szCs w:val="32"/>
        </w:rPr>
        <w:t>作用,即使有些危害不会在短时间内出现,但是长久沉积必然会给健康带来不利影响。</w:t>
      </w:r>
    </w:p>
    <w:p>
      <w:pPr>
        <w:pStyle w:val="12"/>
        <w:spacing w:line="600" w:lineRule="exact"/>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CN"/>
        </w:rPr>
        <w:t>三</w:t>
      </w:r>
      <w:r>
        <w:rPr>
          <w:rFonts w:hint="eastAsia" w:ascii="仿宋" w:hAnsi="仿宋" w:eastAsia="仿宋" w:cs="仿宋"/>
          <w:color w:val="auto"/>
          <w:kern w:val="2"/>
          <w:sz w:val="32"/>
          <w:szCs w:val="32"/>
        </w:rPr>
        <w:t>）腐霉利</w:t>
      </w:r>
    </w:p>
    <w:p>
      <w:pPr>
        <w:pStyle w:val="12"/>
        <w:spacing w:line="600" w:lineRule="exact"/>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腐霉利属于低毒性杀菌剂，兼具保护和治疗作用，主要用于果树、蔬菜作物灰霉病、菌核病、褐腐病的防治。《食品安全国家标准 食品中农药最大残留限量》（GB 2763-2021）中规定，韭菜中腐霉利的最大残留限量为0.2mg/kg。腐霉利对人的眼睛和皮肤有刺激作用，虽然少量的农药残留不会导致急性中毒，但长期食用腐霉利残留超标的蔬菜，会造成农残在人体内定量沉积，对人体神经、血液等系统有害。韭菜中腐霉利超标的原因可能是菜农对使用农药的安全间隔期不了解，从而违规使用或滥用农药。</w:t>
      </w:r>
    </w:p>
    <w:p>
      <w:pPr>
        <w:pStyle w:val="12"/>
        <w:spacing w:line="600" w:lineRule="exact"/>
        <w:ind w:firstLine="640" w:firstLineChars="200"/>
        <w:jc w:val="both"/>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（四）过氧化值(以脂肪计)</w:t>
      </w:r>
    </w:p>
    <w:p>
      <w:pPr>
        <w:pStyle w:val="12"/>
        <w:numPr>
          <w:numId w:val="0"/>
        </w:numPr>
        <w:spacing w:line="600" w:lineRule="exact"/>
        <w:jc w:val="both"/>
        <w:rPr>
          <w:rFonts w:hint="default" w:hAnsi="宋体" w:eastAsia="仿宋_GB2312" w:cs="Times New Roman"/>
          <w:color w:val="auto"/>
          <w:kern w:val="2"/>
          <w:sz w:val="32"/>
          <w:szCs w:val="32"/>
          <w:highlight w:val="none"/>
          <w:lang w:val="en-US" w:eastAsia="zh-CN"/>
        </w:rPr>
      </w:pPr>
      <w:r>
        <w:rPr>
          <w:rFonts w:hint="eastAsia" w:hAnsi="宋体" w:eastAsia="仿宋_GB2312" w:cs="Times New Roman"/>
          <w:color w:val="auto"/>
          <w:kern w:val="2"/>
          <w:sz w:val="32"/>
          <w:szCs w:val="32"/>
          <w:highlight w:val="none"/>
          <w:lang w:val="en-US" w:eastAsia="zh-CN"/>
        </w:rPr>
        <w:t xml:space="preserve">    过氧化值是指油脂中不饱和脂肪酸被氧化形成过氧化物，是油脂酸败的早期指标。《食品安全国家标准 腌腊肉制品》（GB 2730-2015）中规定，腊肉中的过氧化值最大限值为0.5g/100g。过氧化值轻微超标一般不会对人体健康造成损害，但食用过氧化值严重超标的食品可能导致肠胃不适、腹泻等症状。腌腊肉中过氧化值不合格的原因可能是生产工艺流程中需要经过烘干或晾晒，生产周期较长，在生产过程中脂肪氧化，导致产品过氧化值升高；也可能是原料中的脂肪已经氧化，原料储存不当，未采取有效的抗氧化措施，使得终产品中油脂氧化变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2DDE65"/>
    <w:multiLevelType w:val="singleLevel"/>
    <w:tmpl w:val="952DDE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FA"/>
    <w:rsid w:val="004B6EFA"/>
    <w:rsid w:val="00820F31"/>
    <w:rsid w:val="00824259"/>
    <w:rsid w:val="009A15EF"/>
    <w:rsid w:val="00B67A85"/>
    <w:rsid w:val="00D57D1B"/>
    <w:rsid w:val="00F421C8"/>
    <w:rsid w:val="02276CB5"/>
    <w:rsid w:val="03B054BA"/>
    <w:rsid w:val="03F06EAD"/>
    <w:rsid w:val="050D6EC3"/>
    <w:rsid w:val="078602F3"/>
    <w:rsid w:val="08A6302F"/>
    <w:rsid w:val="090604A3"/>
    <w:rsid w:val="0A5020B4"/>
    <w:rsid w:val="0BFE7616"/>
    <w:rsid w:val="0C1667AC"/>
    <w:rsid w:val="0CEF6768"/>
    <w:rsid w:val="0D2B2324"/>
    <w:rsid w:val="104B7313"/>
    <w:rsid w:val="139C76A1"/>
    <w:rsid w:val="145F0D0D"/>
    <w:rsid w:val="156B7E6D"/>
    <w:rsid w:val="15886BAB"/>
    <w:rsid w:val="15C74A14"/>
    <w:rsid w:val="16627B1C"/>
    <w:rsid w:val="17177BD8"/>
    <w:rsid w:val="17EF416E"/>
    <w:rsid w:val="18451B3F"/>
    <w:rsid w:val="195B4923"/>
    <w:rsid w:val="19FE57A3"/>
    <w:rsid w:val="1A9E3EB9"/>
    <w:rsid w:val="1DF10696"/>
    <w:rsid w:val="1EFF100B"/>
    <w:rsid w:val="21CC1456"/>
    <w:rsid w:val="22550787"/>
    <w:rsid w:val="25137D68"/>
    <w:rsid w:val="263C6EBE"/>
    <w:rsid w:val="284A5BF2"/>
    <w:rsid w:val="29DF02C5"/>
    <w:rsid w:val="2A277FBA"/>
    <w:rsid w:val="2B461F65"/>
    <w:rsid w:val="2C516F87"/>
    <w:rsid w:val="2C753719"/>
    <w:rsid w:val="2D231FEB"/>
    <w:rsid w:val="2D66027E"/>
    <w:rsid w:val="2FD10C3E"/>
    <w:rsid w:val="305B4673"/>
    <w:rsid w:val="30CE09BD"/>
    <w:rsid w:val="31C6061F"/>
    <w:rsid w:val="325564AA"/>
    <w:rsid w:val="32DD00BD"/>
    <w:rsid w:val="337317F3"/>
    <w:rsid w:val="379573AA"/>
    <w:rsid w:val="386B654E"/>
    <w:rsid w:val="391352A9"/>
    <w:rsid w:val="3ADD2861"/>
    <w:rsid w:val="3AFA4815"/>
    <w:rsid w:val="3D297853"/>
    <w:rsid w:val="40B04F93"/>
    <w:rsid w:val="415428C2"/>
    <w:rsid w:val="423B28CA"/>
    <w:rsid w:val="428D21EB"/>
    <w:rsid w:val="4452544F"/>
    <w:rsid w:val="45D17096"/>
    <w:rsid w:val="46B032DF"/>
    <w:rsid w:val="49A67CE8"/>
    <w:rsid w:val="4B911789"/>
    <w:rsid w:val="4CC14FB3"/>
    <w:rsid w:val="4D94490D"/>
    <w:rsid w:val="4DAD2FA1"/>
    <w:rsid w:val="4DDB6E2C"/>
    <w:rsid w:val="4E9C06D0"/>
    <w:rsid w:val="51C0523D"/>
    <w:rsid w:val="520E4E41"/>
    <w:rsid w:val="58D27289"/>
    <w:rsid w:val="58EF2A7D"/>
    <w:rsid w:val="5A50498B"/>
    <w:rsid w:val="5C77642F"/>
    <w:rsid w:val="5CED668D"/>
    <w:rsid w:val="5E751D15"/>
    <w:rsid w:val="5F1D6839"/>
    <w:rsid w:val="60CF2535"/>
    <w:rsid w:val="68932D56"/>
    <w:rsid w:val="68B26099"/>
    <w:rsid w:val="697C6D68"/>
    <w:rsid w:val="6B4C4B7D"/>
    <w:rsid w:val="6B5F69B6"/>
    <w:rsid w:val="6EF66C78"/>
    <w:rsid w:val="6FF2151A"/>
    <w:rsid w:val="706D666D"/>
    <w:rsid w:val="71894BD7"/>
    <w:rsid w:val="726258D5"/>
    <w:rsid w:val="73B232F5"/>
    <w:rsid w:val="74994EC2"/>
    <w:rsid w:val="74EF7DD6"/>
    <w:rsid w:val="757B108B"/>
    <w:rsid w:val="757B7956"/>
    <w:rsid w:val="77B41AFA"/>
    <w:rsid w:val="77DD7782"/>
    <w:rsid w:val="794F6A88"/>
    <w:rsid w:val="79871452"/>
    <w:rsid w:val="7B6A0503"/>
    <w:rsid w:val="7B802328"/>
    <w:rsid w:val="7BCD75A4"/>
    <w:rsid w:val="7D212BFB"/>
    <w:rsid w:val="7E3539E2"/>
    <w:rsid w:val="7F02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3 Char"/>
    <w:basedOn w:val="7"/>
    <w:link w:val="2"/>
    <w:qFormat/>
    <w:uiPriority w:val="9"/>
    <w:rPr>
      <w:rFonts w:ascii="宋体" w:hAnsi="宋体" w:eastAsia="宋体" w:cs="宋体"/>
      <w:b/>
      <w:bCs/>
      <w:kern w:val="0"/>
      <w:sz w:val="27"/>
      <w:szCs w:val="27"/>
    </w:rPr>
  </w:style>
  <w:style w:type="paragraph" w:customStyle="1" w:styleId="11">
    <w:name w:val="_Style 1"/>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Company>
  <Pages>1</Pages>
  <Words>25</Words>
  <Characters>147</Characters>
  <Lines>1</Lines>
  <Paragraphs>1</Paragraphs>
  <TotalTime>157</TotalTime>
  <ScaleCrop>false</ScaleCrop>
  <LinksUpToDate>false</LinksUpToDate>
  <CharactersWithSpaces>171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2019-04-08T02:10:00Z</dcterms:created>
  <dc:creator>黎佩珊</dc:creator>
  <cp:lastModifiedBy>海洋</cp:lastModifiedBy>
  <dcterms:modified xsi:type="dcterms:W3CDTF">2021-12-21T07:19:07Z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