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4"/>
          <w:lang w:val="zh-TW"/>
        </w:rPr>
      </w:pPr>
      <w:bookmarkStart w:id="0" w:name="_GoBack"/>
      <w:bookmarkEnd w:id="0"/>
      <w:r>
        <w:rPr>
          <w:rFonts w:eastAsia="仿宋_GB2312"/>
          <w:b/>
          <w:kern w:val="0"/>
          <w:sz w:val="28"/>
          <w:szCs w:val="28"/>
        </w:rPr>
        <w:drawing>
          <wp:inline distT="0" distB="0" distL="114300" distR="114300">
            <wp:extent cx="13827760" cy="9784715"/>
            <wp:effectExtent l="0" t="0" r="2540" b="6985"/>
            <wp:docPr id="1" name="图片 1" descr="\\Jsmkgcdluwo1n72\2022年项目\9.路桥公司要调规的数据\松山湖调规\刻录光盘\东莞市松山湖土地利用总体规划（2010-2020年）预留规模落实方案（莞樟路下穿生态园大道通道工程项目）\3.图件\东莞市松山湖落实地块前土地利用总体规划（局部图).jpg东莞市松山湖落实地块前土地利用总体规划（局部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Jsmkgcdluwo1n72\2022年项目\9.路桥公司要调规的数据\松山湖调规\刻录光盘\东莞市松山湖土地利用总体规划（2010-2020年）预留规模落实方案（莞樟路下穿生态园大道通道工程项目）\3.图件\东莞市松山湖落实地块前土地利用总体规划（局部图).jpg东莞市松山湖落实地块前土地利用总体规划（局部图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7760" cy="97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PMingLiU" w:cs="宋体"/>
          <w:color w:val="000000"/>
          <w:kern w:val="0"/>
          <w:sz w:val="28"/>
          <w:szCs w:val="24"/>
          <w:lang w:val="zh-TW" w:eastAsia="zh-TW"/>
        </w:rPr>
      </w:pPr>
    </w:p>
    <w:p/>
    <w:sectPr>
      <w:pgSz w:w="23814" w:h="16840" w:orient="landscape"/>
      <w:pgMar w:top="284" w:right="284" w:bottom="284" w:left="284" w:header="283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2184B"/>
    <w:rsid w:val="12CF47FF"/>
    <w:rsid w:val="587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2022-12-16T03:51:00Z</dcterms:created>
  <dc:creator>Administrator</dc:creator>
  <cp:lastModifiedBy>WPS_752011629</cp:lastModifiedBy>
  <cp:lastPrinted>2022-12-20T03:57:53Z</cp:lastPrinted>
  <dcterms:modified xsi:type="dcterms:W3CDTF">2022-12-20T03:58:03Z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