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东莞市交通运输局松山湖分局功能区</w:t>
      </w:r>
      <w:permEnd w:id="1"/>
      <w:bookmarkStart w:id="100" w:name="_GoBack"/>
      <w:bookmarkEnd w:id="100"/>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松山湖交通运输分局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松山湖交通运输分局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permStart w:id="7" w:edGrp="everyone"/>
      <w:bookmarkStart w:id="6" w:name="PO_part1Responsibilities"/>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rPr>
        <w:t>负责贯彻落实有关交通法律、法规和方针政策；负责各类交通违法案件的审核办理和具体处罚工作；负责园区道路运输（含出租车、公共汽车、旅游客车运输）、营业性客货运输站（场）、机动车维修、道路运输服务业（含物</w:t>
      </w:r>
      <w:r>
        <w:rPr>
          <w:rFonts w:hint="eastAsia" w:ascii="Times New Roman" w:hAnsi="Times New Roman" w:eastAsia="仿宋_GB2312"/>
          <w:sz w:val="32"/>
          <w:szCs w:val="32"/>
        </w:rPr>
        <w:t>流业）、搬运装卸业、机动车驾驶学校的行业管理；负责园区水路运输、水路运输服务业的行业管理；组织重点物资和紧急客货运输；拟订园区交通行业发展规划、中长期计划和年度计划，经批准后监督实施；负责园区交通运输综合执法工作，行使公路运政、水路运政、公路路政、航道行政、港口行政、交通规费稽查等方面的行政执法职责；统筹协调各镇（园区）交通运输领域的相关工作；承办市交通运输局下放给管委会行使的管理职能和事项；承办市交通运输局前移的行政审批服务事项，建立承接事项指导、协调、监管、备案工作制度；承办党工委、管委会交办的其他事项。</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bookmarkStart w:id="7" w:name="PO_part2Organization"/>
      <w:permStart w:id="8" w:edGrp="everyone"/>
      <w:r>
        <w:rPr>
          <w:rFonts w:hint="eastAsia" w:ascii="仿宋_GB2312" w:hAnsi="仿宋_GB2312" w:eastAsia="仿宋_GB2312" w:cs="仿宋_GB2312"/>
          <w:sz w:val="32"/>
          <w:szCs w:val="32"/>
        </w:rPr>
        <w:t>分局一共四个内设机构，分别为：执法股、基建管理股、运输管理股、综合股</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2"/>
          <w:szCs w:val="32"/>
        </w:rPr>
        <w:t>本部门无下属单位，部门预算为局本级预算。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东莞市交通运输局松山湖分局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67.5</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67.5</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67.5</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49" w:type="dxa"/>
            <w:noWrap w:val="0"/>
            <w:vAlign w:val="center"/>
          </w:tcPr>
          <w:p>
            <w:pPr>
              <w:jc w:val="right"/>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permStart w:id="32" w:edGrp="everyone"/>
            <w:r>
              <w:rPr>
                <w:rFonts w:hint="eastAsia" w:ascii="宋体" w:hAnsi="宋体" w:eastAsia="宋体" w:cs="宋体"/>
                <w:i w:val="0"/>
                <w:iCs w:val="0"/>
                <w:color w:val="000000"/>
                <w:kern w:val="0"/>
                <w:sz w:val="20"/>
                <w:szCs w:val="20"/>
                <w:u w:val="none"/>
                <w:lang w:val="en-US" w:eastAsia="zh-CN" w:bidi="ar"/>
              </w:rPr>
              <w:t>214</w:t>
            </w:r>
          </w:p>
        </w:tc>
        <w:tc>
          <w:tcPr>
            <w:tcW w:w="1662"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交通运输支出</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39" w:type="dxa"/>
            <w:noWrap w:val="0"/>
            <w:vAlign w:val="center"/>
          </w:tcPr>
          <w:p>
            <w:pPr>
              <w:keepNext w:val="0"/>
              <w:keepLines w:val="0"/>
              <w:widowControl/>
              <w:suppressLineNumbers w:val="0"/>
              <w:jc w:val="left"/>
              <w:textAlignment w:val="center"/>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w:t>
            </w:r>
          </w:p>
        </w:tc>
        <w:tc>
          <w:tcPr>
            <w:tcW w:w="1662"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39" w:type="dxa"/>
            <w:noWrap w:val="0"/>
            <w:vAlign w:val="center"/>
          </w:tcPr>
          <w:p>
            <w:pPr>
              <w:keepNext w:val="0"/>
              <w:keepLines w:val="0"/>
              <w:widowControl/>
              <w:suppressLineNumbers w:val="0"/>
              <w:jc w:val="left"/>
              <w:textAlignment w:val="center"/>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2140102</w:t>
            </w:r>
          </w:p>
        </w:tc>
        <w:tc>
          <w:tcPr>
            <w:tcW w:w="1662"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939" w:type="dxa"/>
            <w:noWrap w:val="0"/>
            <w:vAlign w:val="center"/>
          </w:tcPr>
          <w:p>
            <w:pPr>
              <w:keepNext w:val="0"/>
              <w:keepLines w:val="0"/>
              <w:widowControl/>
              <w:suppressLineNumbers w:val="0"/>
              <w:jc w:val="left"/>
              <w:textAlignment w:val="center"/>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松山湖交通运输局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155" w:type="dxa"/>
            <w:noWrap w:val="0"/>
            <w:vAlign w:val="center"/>
          </w:tcPr>
          <w:p>
            <w:pPr>
              <w:jc w:val="right"/>
              <w:rPr>
                <w:sz w:val="18"/>
                <w:szCs w:val="18"/>
              </w:rPr>
            </w:pPr>
            <w:r>
              <w:rPr>
                <w:rFonts w:hint="eastAsia" w:ascii="宋体" w:hAnsi="宋体"/>
                <w:color w:val="000000"/>
                <w:sz w:val="18"/>
                <w:szCs w:val="18"/>
              </w:rPr>
              <w:t>0.00</w:t>
            </w:r>
          </w:p>
        </w:tc>
        <w:tc>
          <w:tcPr>
            <w:tcW w:w="1257" w:type="dxa"/>
            <w:noWrap w:val="0"/>
            <w:vAlign w:val="center"/>
          </w:tcPr>
          <w:p>
            <w:pPr>
              <w:jc w:val="right"/>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permStart w:id="42" w:edGrp="everyone"/>
            <w:r>
              <w:rPr>
                <w:rFonts w:hint="eastAsia" w:ascii="宋体" w:hAnsi="宋体" w:eastAsia="宋体" w:cs="宋体"/>
                <w:i w:val="0"/>
                <w:iCs w:val="0"/>
                <w:color w:val="000000"/>
                <w:kern w:val="0"/>
                <w:sz w:val="20"/>
                <w:szCs w:val="20"/>
                <w:u w:val="none"/>
                <w:lang w:val="en-US" w:eastAsia="zh-CN" w:bidi="ar"/>
              </w:rPr>
              <w:t>214</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交通运输支出</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155" w:type="dxa"/>
            <w:noWrap w:val="0"/>
            <w:vAlign w:val="center"/>
          </w:tcPr>
          <w:p>
            <w:pPr>
              <w:jc w:val="right"/>
              <w:rPr>
                <w:sz w:val="18"/>
                <w:szCs w:val="18"/>
              </w:rPr>
            </w:pP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155" w:type="dxa"/>
            <w:noWrap w:val="0"/>
            <w:vAlign w:val="center"/>
          </w:tcPr>
          <w:p>
            <w:pPr>
              <w:jc w:val="right"/>
              <w:rPr>
                <w:sz w:val="18"/>
                <w:szCs w:val="18"/>
              </w:rPr>
            </w:pP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2140102</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155" w:type="dxa"/>
            <w:noWrap w:val="0"/>
            <w:vAlign w:val="center"/>
          </w:tcPr>
          <w:p>
            <w:pPr>
              <w:jc w:val="right"/>
              <w:rPr>
                <w:sz w:val="18"/>
                <w:szCs w:val="18"/>
              </w:rPr>
            </w:pP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松山湖交通运输分局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ascii="宋体" w:hAnsi="宋体"/>
                <w:color w:val="000000"/>
                <w:sz w:val="18"/>
                <w:szCs w:val="18"/>
              </w:rPr>
            </w:pPr>
            <w:r>
              <w:rPr>
                <w:rFonts w:hint="eastAsia" w:ascii="宋体" w:hAnsi="宋体"/>
                <w:color w:val="000000"/>
                <w:sz w:val="18"/>
                <w:szCs w:val="18"/>
              </w:rPr>
              <w:t>67.5</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67.5</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67.5</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松山湖交通运输分局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permStart w:id="56" w:edGrp="everyone"/>
            <w:r>
              <w:rPr>
                <w:rFonts w:hint="eastAsia" w:ascii="宋体" w:hAnsi="宋体" w:eastAsia="宋体" w:cs="宋体"/>
                <w:i w:val="0"/>
                <w:iCs w:val="0"/>
                <w:color w:val="000000"/>
                <w:kern w:val="0"/>
                <w:sz w:val="20"/>
                <w:szCs w:val="20"/>
                <w:u w:val="none"/>
                <w:lang w:val="en-US" w:eastAsia="zh-CN" w:bidi="ar"/>
              </w:rPr>
              <w:t>[214]交通运输支出</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[21401]公路水路运输</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[2140102]一般行政管理事务</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松山湖交通运输分局</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jc w:val="right"/>
              <w:rPr>
                <w:sz w:val="18"/>
                <w:szCs w:val="18"/>
              </w:rPr>
            </w:pPr>
            <w:r>
              <w:rPr>
                <w:rFonts w:hint="eastAsia" w:ascii="宋体" w:hAnsi="宋体"/>
                <w:color w:val="000000"/>
                <w:sz w:val="18"/>
                <w:szCs w:val="18"/>
              </w:rPr>
              <w:t>0.00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松山湖交通运输分局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松山湖交通运输分局</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eastAsia="宋体"/>
                <w:color w:val="000000"/>
                <w:sz w:val="18"/>
                <w:szCs w:val="18"/>
                <w:lang w:eastAsia="zh-CN"/>
              </w:rPr>
            </w:pPr>
            <w:permStart w:id="96" w:edGrp="everyone"/>
            <w:r>
              <w:rPr>
                <w:rFonts w:hint="eastAsia" w:ascii="宋体" w:hAnsi="宋体"/>
                <w:color w:val="000000"/>
                <w:sz w:val="18"/>
                <w:szCs w:val="18"/>
                <w:lang w:eastAsia="zh-CN"/>
              </w:rPr>
              <w:t>无</w:t>
            </w: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松山湖交通运输分局</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lang w:eastAsia="zh-CN"/>
              </w:rPr>
            </w:pPr>
            <w:permStart w:id="102" w:edGrp="everyone"/>
            <w:r>
              <w:rPr>
                <w:rFonts w:hint="eastAsia" w:ascii="宋体" w:hAnsi="宋体" w:cs="Times New Roman"/>
                <w:color w:val="000000"/>
                <w:sz w:val="18"/>
                <w:szCs w:val="18"/>
                <w:lang w:eastAsia="zh-CN"/>
              </w:rPr>
              <w:t>无</w:t>
            </w: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松山湖交通运输分局</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67.5</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06"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67.50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松山湖交通运输分局</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eastAsia="宋体"/>
                <w:color w:val="000000"/>
                <w:kern w:val="0"/>
                <w:sz w:val="18"/>
                <w:szCs w:val="18"/>
                <w:lang w:eastAsia="zh-CN"/>
              </w:rPr>
            </w:pPr>
            <w:permStart w:id="116" w:edGrp="everyone"/>
            <w:r>
              <w:rPr>
                <w:rFonts w:hint="eastAsia" w:ascii="宋体" w:hAnsi="宋体"/>
                <w:color w:val="000000"/>
                <w:kern w:val="0"/>
                <w:sz w:val="18"/>
                <w:szCs w:val="18"/>
                <w:lang w:eastAsia="zh-CN"/>
              </w:rPr>
              <w:t>无</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松山湖交通运输分局</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67.5</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67.5</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67.5</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7" w:edGrp="everyone"/>
            <w:r>
              <w:rPr>
                <w:rFonts w:hint="eastAsia" w:ascii="宋体" w:hAnsi="宋体" w:eastAsia="宋体" w:cs="宋体"/>
                <w:i w:val="0"/>
                <w:iCs w:val="0"/>
                <w:color w:val="000000"/>
                <w:kern w:val="0"/>
                <w:sz w:val="20"/>
                <w:szCs w:val="20"/>
                <w:u w:val="none"/>
                <w:lang w:val="en-US" w:eastAsia="zh-CN" w:bidi="ar"/>
              </w:rPr>
              <w:t xml:space="preserve">    松山湖功能区干线路网规划项目</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2"/>
          <w:szCs w:val="32"/>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67.5</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67.5</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3" w:edGrp="everyone"/>
      <w:bookmarkStart w:id="50"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100</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lang w:eastAsia="zh-CN"/>
        </w:rPr>
        <w:t>增加了功能区规划项目</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67.5</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67.5</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7"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100</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eastAsia="zh-CN"/>
        </w:rPr>
        <w:t>增加了功能区规划项目</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40" w:edGrp="everyone"/>
      <w:bookmarkStart w:id="57" w:name="PO_part3A2Amount1"/>
      <w:r>
        <w:rPr>
          <w:rFonts w:hint="eastAsia" w:ascii="仿宋_GB2312" w:hAnsi="仿宋_GB2312" w:eastAsia="仿宋_GB2312" w:cs="仿宋_GB2312"/>
          <w:sz w:val="30"/>
          <w:szCs w:val="30"/>
          <w:lang w:val="en-US" w:eastAsia="zh-CN"/>
        </w:rPr>
        <w:t>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41" w:edGrp="everyone"/>
      <w:bookmarkStart w:id="58" w:name="PO_part3A2IncAmount1"/>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3" w:edGrp="everyone"/>
      <w:bookmarkStart w:id="60" w:name="PO_part3A2IncReason1"/>
      <w:r>
        <w:rPr>
          <w:rFonts w:hint="eastAsia" w:ascii="仿宋_GB2312" w:hAnsi="仿宋_GB2312" w:eastAsia="仿宋_GB2312" w:cs="仿宋_GB2312"/>
          <w:sz w:val="30"/>
          <w:szCs w:val="30"/>
          <w:lang w:eastAsia="zh-CN"/>
        </w:rPr>
        <w:t>无</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5" w:edGrp="everyone"/>
      <w:bookmarkStart w:id="62" w:name="PO_part3A2IncAmount2"/>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6" w:edGrp="everyone"/>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7" w:edGrp="everyone"/>
      <w:r>
        <w:rPr>
          <w:rFonts w:hint="eastAsia" w:ascii="仿宋_GB2312" w:hAnsi="仿宋_GB2312" w:eastAsia="仿宋_GB2312" w:cs="仿宋_GB2312"/>
          <w:sz w:val="30"/>
          <w:szCs w:val="30"/>
          <w:lang w:eastAsia="zh-CN"/>
        </w:rPr>
        <w:t>无</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8" w:edGrp="everyone"/>
      <w:bookmarkStart w:id="65" w:name="PO_part3A2Amount3"/>
      <w:r>
        <w:rPr>
          <w:rFonts w:hint="eastAsia" w:ascii="仿宋_GB2312" w:hAnsi="仿宋_GB2312" w:eastAsia="仿宋_GB2312" w:cs="仿宋_GB2312"/>
          <w:sz w:val="30"/>
          <w:szCs w:val="30"/>
        </w:rPr>
        <w:t>**</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2" w:edGrp="everyone"/>
      <w:bookmarkStart w:id="69" w:name="PO_part3A2IncAmount6"/>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4" w:edGrp="everyone"/>
      <w:bookmarkStart w:id="71" w:name="PO_part3A2IncPercent3"/>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lang w:eastAsia="zh-CN"/>
        </w:rPr>
        <w:t>无</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此为功能区预算无三公经费</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eastAsia" w:ascii="仿宋_GB2312" w:hAnsi="仿宋_GB2312" w:eastAsia="仿宋_GB2312" w:cs="仿宋_GB2312"/>
          <w:sz w:val="30"/>
          <w:szCs w:val="30"/>
          <w:lang w:val="en-US" w:eastAsia="zh-CN"/>
        </w:rPr>
        <w:t>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lang w:val="en-US" w:eastAsia="zh-CN"/>
        </w:rPr>
        <w:t>0</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lang w:val="en-US" w:eastAsia="zh-CN"/>
        </w:rPr>
        <w:t>0</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rPr>
        <w:t>此为功能区预算无部门机关运行经费。</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6" w:edGrp="everyone"/>
      <w:bookmarkStart w:id="83" w:name="PO_part3A4Amount1"/>
      <w:r>
        <w:rPr>
          <w:rFonts w:hint="eastAsia" w:ascii="仿宋_GB2312" w:hAnsi="仿宋_GB2312" w:eastAsia="仿宋_GB2312" w:cs="仿宋_GB2312"/>
          <w:sz w:val="30"/>
          <w:szCs w:val="30"/>
          <w:lang w:val="en-US" w:eastAsia="zh-CN"/>
        </w:rPr>
        <w:t>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7" w:edGrp="everyone"/>
      <w:bookmarkStart w:id="84" w:name="PO_part3A4Amount2"/>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8" w:edGrp="everyone"/>
      <w:bookmarkStart w:id="85" w:name="PO_part3A4Amount3"/>
      <w:r>
        <w:rPr>
          <w:rFonts w:hint="eastAsia" w:ascii="仿宋_GB2312" w:hAnsi="仿宋_GB2312" w:eastAsia="仿宋_GB2312" w:cs="仿宋_GB2312"/>
          <w:sz w:val="30"/>
          <w:szCs w:val="30"/>
          <w:lang w:val="en-US" w:eastAsia="zh-CN"/>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eastAsia" w:ascii="仿宋_GB2312" w:hAnsi="仿宋_GB2312" w:eastAsia="仿宋_GB2312" w:cs="仿宋_GB2312"/>
          <w:sz w:val="30"/>
          <w:szCs w:val="30"/>
          <w:lang w:val="en-US" w:eastAsia="zh-CN"/>
        </w:rPr>
        <w:t>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0</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permStart w:id="175" w:edGrp="everyone"/>
      <w:bookmarkStart w:id="92" w:name="PO_part3A5Car2"/>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7" w:edGrp="everyone"/>
      <w:bookmarkStart w:id="94" w:name="PO_part3A5Amount5"/>
      <w:r>
        <w:rPr>
          <w:rFonts w:hint="eastAsia" w:ascii="仿宋_GB2312" w:hAnsi="仿宋_GB2312" w:eastAsia="仿宋_GB2312" w:cs="仿宋_GB2312"/>
          <w:sz w:val="30"/>
          <w:szCs w:val="30"/>
        </w:rPr>
        <w:t>*</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8" w:edGrp="everyone"/>
      <w:bookmarkStart w:id="95" w:name="PO_part3A5Detil1"/>
      <w:r>
        <w:rPr>
          <w:rFonts w:hint="eastAsia" w:ascii="仿宋_GB2312" w:hAnsi="仿宋_GB2312" w:eastAsia="仿宋_GB2312" w:cs="仿宋_GB2312"/>
          <w:sz w:val="30"/>
          <w:szCs w:val="30"/>
        </w:rPr>
        <w:t>此为功能区预算，部门资产情况反映在部门预算中</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permStart w:id="180" w:edGrp="everyone"/>
            <w:bookmarkStart w:id="97" w:name="PO_part3Table6"/>
            <w:r>
              <w:rPr>
                <w:rFonts w:hint="eastAsia" w:ascii="宋体" w:hAnsi="宋体" w:cs="宋体"/>
                <w:color w:val="000000"/>
                <w:sz w:val="20"/>
                <w:szCs w:val="20"/>
                <w:lang w:eastAsia="zh-CN"/>
              </w:rPr>
              <w:t>无</w:t>
            </w:r>
          </w:p>
        </w:tc>
        <w:tc>
          <w:tcPr>
            <w:tcW w:w="2127" w:type="dxa"/>
            <w:noWrap w:val="0"/>
            <w:vAlign w:val="top"/>
          </w:tcPr>
          <w:p>
            <w:r>
              <w:rPr>
                <w:rFonts w:hint="eastAsia" w:ascii="宋体" w:hAnsi="宋体" w:cs="宋体"/>
                <w:color w:val="000000"/>
                <w:sz w:val="20"/>
                <w:szCs w:val="20"/>
              </w:rPr>
              <w:t>……</w:t>
            </w:r>
          </w:p>
        </w:tc>
        <w:tc>
          <w:tcPr>
            <w:tcW w:w="2629" w:type="dxa"/>
            <w:noWrap w:val="0"/>
            <w:vAlign w:val="top"/>
          </w:tcPr>
          <w:p>
            <w:r>
              <w:rPr>
                <w:rFonts w:hint="eastAsia" w:ascii="宋体" w:hAnsi="宋体" w:cs="宋体"/>
                <w:color w:val="000000"/>
                <w:sz w:val="20"/>
                <w:szCs w:val="20"/>
              </w:rPr>
              <w:t>……</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A202079"/>
    <w:rsid w:val="2BD63918"/>
    <w:rsid w:val="2CAD5E46"/>
    <w:rsid w:val="2CF25F4F"/>
    <w:rsid w:val="2D2B320F"/>
    <w:rsid w:val="2E1343CF"/>
    <w:rsid w:val="2F9F5447"/>
    <w:rsid w:val="34D04DC8"/>
    <w:rsid w:val="36337BCB"/>
    <w:rsid w:val="39194D41"/>
    <w:rsid w:val="39752695"/>
    <w:rsid w:val="3BB3149A"/>
    <w:rsid w:val="3DC079A3"/>
    <w:rsid w:val="3EEC2B1F"/>
    <w:rsid w:val="409A7DFF"/>
    <w:rsid w:val="4242307D"/>
    <w:rsid w:val="42F3427F"/>
    <w:rsid w:val="453C3186"/>
    <w:rsid w:val="477535AD"/>
    <w:rsid w:val="49C47069"/>
    <w:rsid w:val="4B79303A"/>
    <w:rsid w:val="4D673998"/>
    <w:rsid w:val="4EF23735"/>
    <w:rsid w:val="511107EA"/>
    <w:rsid w:val="528648C0"/>
    <w:rsid w:val="537B019D"/>
    <w:rsid w:val="55E24503"/>
    <w:rsid w:val="58477EF5"/>
    <w:rsid w:val="590429E2"/>
    <w:rsid w:val="596A4F3B"/>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DE8B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2</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钟雁乐</cp:lastModifiedBy>
  <dcterms:modified xsi:type="dcterms:W3CDTF">2023-03-09T02:31:38Z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