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bookmarkStart w:id="100" w:name="_GoBack"/>
      <w:bookmarkEnd w:id="100"/>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东莞松山湖高新技术产业开发区规划与发展研究中心</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黑体" w:hAnsi="黑体" w:eastAsia="黑体" w:cs="黑体"/>
          <w:b/>
          <w:sz w:val="32"/>
          <w:szCs w:val="32"/>
        </w:rPr>
        <w:t>东莞松山湖高新技术产业开发区规划与发展研究中心</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rPr>
        <w:t>东莞松山湖高新技术产业开发区规划与发展研究中心</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rPr>
          <w:rFonts w:hint="eastAsia" w:ascii="仿宋_GB2312" w:eastAsia="仿宋_GB2312"/>
          <w:sz w:val="30"/>
          <w:szCs w:val="30"/>
        </w:rPr>
      </w:pPr>
      <w:permStart w:id="7" w:edGrp="everyone"/>
      <w:bookmarkStart w:id="6" w:name="PO_part1Responsibilities"/>
      <w:r>
        <w:rPr>
          <w:rFonts w:hint="eastAsia" w:ascii="仿宋_GB2312" w:hAnsi="仿宋_GB2312" w:eastAsia="仿宋_GB2312" w:cs="仿宋_GB2312"/>
          <w:sz w:val="30"/>
          <w:szCs w:val="30"/>
        </w:rPr>
        <w:t>（</w:t>
      </w:r>
      <w:r>
        <w:rPr>
          <w:rFonts w:hint="eastAsia" w:ascii="仿宋_GB2312" w:eastAsia="仿宋_GB2312"/>
          <w:sz w:val="30"/>
          <w:szCs w:val="30"/>
        </w:rPr>
        <w:t>一）</w:t>
      </w:r>
      <w:r>
        <w:rPr>
          <w:rFonts w:ascii="仿宋_GB2312" w:eastAsia="仿宋_GB2312"/>
          <w:sz w:val="30"/>
          <w:szCs w:val="30"/>
        </w:rPr>
        <w:t>负责功能区相关发展规划编制，包括重大战略发展规划、产业发展规划和专项规划。功能区空间统筹规划、区域内国家级、省级园区和重点地区的控制性详细规划。</w:t>
      </w:r>
    </w:p>
    <w:p>
      <w:pPr>
        <w:ind w:firstLine="600" w:firstLineChars="200"/>
        <w:rPr>
          <w:rFonts w:hint="eastAsia" w:ascii="仿宋_GB2312" w:eastAsia="仿宋_GB2312"/>
          <w:sz w:val="30"/>
          <w:szCs w:val="30"/>
        </w:rPr>
      </w:pPr>
      <w:r>
        <w:rPr>
          <w:rFonts w:hint="eastAsia" w:ascii="仿宋_GB2312" w:eastAsia="仿宋_GB2312"/>
          <w:sz w:val="30"/>
          <w:szCs w:val="30"/>
        </w:rPr>
        <w:t>（二）</w:t>
      </w:r>
      <w:r>
        <w:rPr>
          <w:rFonts w:ascii="仿宋_GB2312" w:eastAsia="仿宋_GB2312"/>
          <w:sz w:val="30"/>
          <w:szCs w:val="30"/>
        </w:rPr>
        <w:t>负责镇级总体规划及近期建设规划、控制性详细规划、镇级土地利用总体规划及村级土地利用规划编制及修改的审查。负责功能区生态控制线、工业保护线调整审查。</w:t>
      </w:r>
    </w:p>
    <w:p>
      <w:pPr>
        <w:ind w:firstLine="600" w:firstLineChars="200"/>
        <w:rPr>
          <w:rFonts w:hint="eastAsia" w:ascii="仿宋_GB2312" w:eastAsia="仿宋_GB2312"/>
          <w:sz w:val="30"/>
          <w:szCs w:val="30"/>
        </w:rPr>
      </w:pPr>
      <w:r>
        <w:rPr>
          <w:rFonts w:hint="eastAsia" w:ascii="仿宋_GB2312" w:eastAsia="仿宋_GB2312"/>
          <w:sz w:val="30"/>
          <w:szCs w:val="30"/>
        </w:rPr>
        <w:t>（三）</w:t>
      </w:r>
      <w:r>
        <w:rPr>
          <w:rFonts w:ascii="仿宋_GB2312" w:eastAsia="仿宋_GB2312"/>
          <w:sz w:val="30"/>
          <w:szCs w:val="30"/>
        </w:rPr>
        <w:t>负责功能区发展战略性问题和阶段性重大问题研究。组织对功能区重大决策的论证。跟踪、研究国家有关政策及各类政治、经济信息。参与研究制定产业、科技、人才、公共服务等政策实施意见。分析研究国际、国内经济形势，提出促进经济健康发展的政策建议。研究提出实施经济和社会发展规划、计划的政策措施建议，供功能区党工委、管委会决策参考。协助承办市业务主管部门委托的不动产登记有关业务。</w:t>
      </w:r>
    </w:p>
    <w:p>
      <w:pPr>
        <w:ind w:firstLine="450" w:firstLineChars="150"/>
        <w:rPr>
          <w:rFonts w:hint="eastAsia" w:ascii="仿宋_GB2312" w:eastAsia="仿宋_GB2312"/>
          <w:sz w:val="30"/>
          <w:szCs w:val="30"/>
        </w:rPr>
      </w:pPr>
      <w:r>
        <w:rPr>
          <w:rFonts w:hint="eastAsia" w:ascii="仿宋_GB2312" w:eastAsia="仿宋_GB2312"/>
          <w:sz w:val="30"/>
          <w:szCs w:val="30"/>
        </w:rPr>
        <w:t>（四）</w:t>
      </w:r>
      <w:r>
        <w:rPr>
          <w:rFonts w:ascii="仿宋_GB2312" w:eastAsia="仿宋_GB2312"/>
          <w:sz w:val="30"/>
          <w:szCs w:val="30"/>
        </w:rPr>
        <w:t>负责辖区内不动产的档案管理工作。</w:t>
      </w:r>
    </w:p>
    <w:p>
      <w:pPr>
        <w:ind w:firstLine="450" w:firstLineChars="150"/>
        <w:rPr>
          <w:rFonts w:hint="eastAsia" w:ascii="仿宋_GB2312" w:eastAsia="仿宋_GB2312"/>
          <w:sz w:val="30"/>
          <w:szCs w:val="30"/>
        </w:rPr>
      </w:pPr>
      <w:r>
        <w:rPr>
          <w:rFonts w:hint="eastAsia" w:ascii="仿宋_GB2312" w:eastAsia="仿宋_GB2312"/>
          <w:sz w:val="30"/>
          <w:szCs w:val="30"/>
        </w:rPr>
        <w:t>（五）</w:t>
      </w:r>
      <w:r>
        <w:rPr>
          <w:rFonts w:ascii="仿宋_GB2312" w:eastAsia="仿宋_GB2312"/>
          <w:sz w:val="30"/>
          <w:szCs w:val="30"/>
        </w:rPr>
        <w:t>负责辖区内房产测绘有关业务及不动产网络系统的维护工作。</w:t>
      </w:r>
    </w:p>
    <w:p>
      <w:pPr>
        <w:ind w:firstLine="450" w:firstLineChars="150"/>
        <w:rPr>
          <w:rFonts w:hint="eastAsia" w:ascii="仿宋_GB2312" w:eastAsia="仿宋_GB2312"/>
          <w:sz w:val="30"/>
          <w:szCs w:val="30"/>
        </w:rPr>
      </w:pPr>
      <w:r>
        <w:rPr>
          <w:rFonts w:hint="eastAsia" w:ascii="仿宋_GB2312" w:eastAsia="仿宋_GB2312"/>
          <w:sz w:val="30"/>
          <w:szCs w:val="30"/>
        </w:rPr>
        <w:t>（六）</w:t>
      </w:r>
      <w:r>
        <w:rPr>
          <w:rFonts w:ascii="仿宋_GB2312" w:eastAsia="仿宋_GB2312"/>
          <w:sz w:val="30"/>
          <w:szCs w:val="30"/>
        </w:rPr>
        <w:t>承办管委会交办的其他事项。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bookmarkStart w:id="7" w:name="PO_part2Organization"/>
      <w:permStart w:id="8" w:edGrp="everyone"/>
      <w:r>
        <w:rPr>
          <w:rFonts w:hint="eastAsia" w:ascii="仿宋_GB2312" w:hAnsi="仿宋_GB2312" w:eastAsia="仿宋_GB2312" w:cs="仿宋_GB2312"/>
          <w:sz w:val="30"/>
          <w:szCs w:val="30"/>
        </w:rPr>
        <w:t xml:space="preserve">东莞松山湖高新技术产业开发区规划与发展研究中心，加挂东莞松山湖高新技术产业开发区不动产登记中心牌子，为直属松山湖管委会管理的公益一类事业单位，正科级，经费按财政补助一类由松山湖管委会财政拨付。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permStart w:id="9" w:edGrp="everyone"/>
      <w:bookmarkStart w:id="8" w:name="PO_part1Organization"/>
      <w:r>
        <w:rPr>
          <w:rFonts w:hint="eastAsia" w:ascii="仿宋_GB2312" w:eastAsia="仿宋_GB2312"/>
          <w:sz w:val="30"/>
          <w:szCs w:val="30"/>
        </w:rPr>
        <w:t>本部门无下属单位，部门预算为本级预算。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sz w:val="18"/>
                <w:szCs w:val="18"/>
              </w:rPr>
              <w:t>东莞松山湖高新技术产业开发区规划与发展研究中心</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1,378.68</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1,378.68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lang w:val="en-US" w:eastAsia="zh-CN"/>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1,378.68</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1,378.68</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1,378.68</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1,378.68</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sz w:val="18"/>
                <w:szCs w:val="18"/>
              </w:rPr>
              <w:t>东莞松山湖高新技术产业开发区规划与发展研究中心</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1,378.68</w:t>
            </w:r>
          </w:p>
        </w:tc>
        <w:tc>
          <w:tcPr>
            <w:tcW w:w="949" w:type="dxa"/>
            <w:noWrap w:val="0"/>
            <w:vAlign w:val="center"/>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1,378.68</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201</w:t>
            </w:r>
          </w:p>
        </w:tc>
        <w:tc>
          <w:tcPr>
            <w:tcW w:w="1662"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人大事务</w:t>
            </w:r>
          </w:p>
        </w:tc>
        <w:tc>
          <w:tcPr>
            <w:tcW w:w="1196"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2010101</w:t>
            </w:r>
          </w:p>
        </w:tc>
        <w:tc>
          <w:tcPr>
            <w:tcW w:w="1662"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w:t>
            </w:r>
          </w:p>
        </w:tc>
        <w:tc>
          <w:tcPr>
            <w:tcW w:w="1662"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城乡社区支出</w:t>
            </w:r>
          </w:p>
        </w:tc>
        <w:tc>
          <w:tcPr>
            <w:tcW w:w="1196"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1,378.68</w:t>
            </w:r>
          </w:p>
        </w:tc>
        <w:tc>
          <w:tcPr>
            <w:tcW w:w="949"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1,378.68</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21201</w:t>
            </w:r>
          </w:p>
        </w:tc>
        <w:tc>
          <w:tcPr>
            <w:tcW w:w="1662"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城乡社区管理事务</w:t>
            </w:r>
          </w:p>
        </w:tc>
        <w:tc>
          <w:tcPr>
            <w:tcW w:w="1196"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538.79</w:t>
            </w:r>
          </w:p>
        </w:tc>
        <w:tc>
          <w:tcPr>
            <w:tcW w:w="949"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538.79</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2120101</w:t>
            </w:r>
          </w:p>
        </w:tc>
        <w:tc>
          <w:tcPr>
            <w:tcW w:w="1662"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行政运行</w:t>
            </w:r>
          </w:p>
        </w:tc>
        <w:tc>
          <w:tcPr>
            <w:tcW w:w="1196"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949"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2120102</w:t>
            </w:r>
          </w:p>
        </w:tc>
        <w:tc>
          <w:tcPr>
            <w:tcW w:w="1662"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一般行政管理事务</w:t>
            </w:r>
          </w:p>
        </w:tc>
        <w:tc>
          <w:tcPr>
            <w:tcW w:w="1196"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191.84</w:t>
            </w:r>
          </w:p>
        </w:tc>
        <w:tc>
          <w:tcPr>
            <w:tcW w:w="949"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191.84</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21202</w:t>
            </w:r>
          </w:p>
        </w:tc>
        <w:tc>
          <w:tcPr>
            <w:tcW w:w="1662"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城乡社区规划与管理</w:t>
            </w:r>
          </w:p>
        </w:tc>
        <w:tc>
          <w:tcPr>
            <w:tcW w:w="1196"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c>
          <w:tcPr>
            <w:tcW w:w="949"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2120201</w:t>
            </w:r>
          </w:p>
        </w:tc>
        <w:tc>
          <w:tcPr>
            <w:tcW w:w="1662"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城乡社区规划与管理</w:t>
            </w:r>
          </w:p>
        </w:tc>
        <w:tc>
          <w:tcPr>
            <w:tcW w:w="1196"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c>
          <w:tcPr>
            <w:tcW w:w="949"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02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82"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4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939"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94"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867"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sz w:val="18"/>
                <w:szCs w:val="18"/>
              </w:rPr>
              <w:t>东莞松山湖高新技术产业开发区规划与发展研究中心</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1,378.68</w:t>
            </w:r>
          </w:p>
        </w:tc>
        <w:tc>
          <w:tcPr>
            <w:tcW w:w="1155" w:type="dxa"/>
            <w:noWrap w:val="0"/>
            <w:vAlign w:val="center"/>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1257" w:type="dxa"/>
            <w:noWrap w:val="0"/>
            <w:vAlign w:val="center"/>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1,031.73</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noWrap w:val="0"/>
            <w:vAlign w:val="center"/>
          </w:tcPr>
          <w:p>
            <w:pPr>
              <w:jc w:val="right"/>
              <w:rPr>
                <w:sz w:val="18"/>
                <w:szCs w:val="18"/>
              </w:rPr>
            </w:pPr>
            <w:r>
              <w:rPr>
                <w:rFonts w:hint="eastAsia" w:ascii="宋体" w:hAnsi="宋体"/>
                <w:color w:val="000000"/>
                <w:sz w:val="18"/>
                <w:szCs w:val="18"/>
              </w:rPr>
              <w:t>0.00</w:t>
            </w:r>
          </w:p>
        </w:tc>
        <w:tc>
          <w:tcPr>
            <w:tcW w:w="1155" w:type="dxa"/>
            <w:noWrap w:val="0"/>
            <w:vAlign w:val="center"/>
          </w:tcPr>
          <w:p>
            <w:pPr>
              <w:jc w:val="right"/>
              <w:rPr>
                <w:sz w:val="18"/>
                <w:szCs w:val="18"/>
              </w:rPr>
            </w:pPr>
            <w:r>
              <w:rPr>
                <w:rFonts w:hint="eastAsia" w:ascii="宋体" w:hAnsi="宋体"/>
                <w:color w:val="000000"/>
                <w:sz w:val="18"/>
                <w:szCs w:val="18"/>
              </w:rPr>
              <w:t>0.00</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人大事务</w:t>
            </w:r>
          </w:p>
        </w:tc>
        <w:tc>
          <w:tcPr>
            <w:tcW w:w="1365" w:type="dxa"/>
            <w:noWrap w:val="0"/>
            <w:vAlign w:val="center"/>
          </w:tcPr>
          <w:p>
            <w:pPr>
              <w:jc w:val="right"/>
              <w:rPr>
                <w:sz w:val="18"/>
                <w:szCs w:val="18"/>
              </w:rPr>
            </w:pPr>
            <w:r>
              <w:rPr>
                <w:rFonts w:hint="eastAsia" w:ascii="宋体" w:hAnsi="宋体"/>
                <w:color w:val="000000"/>
                <w:sz w:val="18"/>
                <w:szCs w:val="18"/>
              </w:rPr>
              <w:t>0.00</w:t>
            </w:r>
          </w:p>
        </w:tc>
        <w:tc>
          <w:tcPr>
            <w:tcW w:w="1155" w:type="dxa"/>
            <w:noWrap w:val="0"/>
            <w:vAlign w:val="center"/>
          </w:tcPr>
          <w:p>
            <w:pPr>
              <w:jc w:val="right"/>
              <w:rPr>
                <w:sz w:val="18"/>
                <w:szCs w:val="18"/>
              </w:rPr>
            </w:pPr>
            <w:r>
              <w:rPr>
                <w:rFonts w:hint="eastAsia" w:ascii="宋体" w:hAnsi="宋体"/>
                <w:color w:val="000000"/>
                <w:sz w:val="18"/>
                <w:szCs w:val="18"/>
              </w:rPr>
              <w:t>0.00</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2010101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行政运行</w:t>
            </w:r>
          </w:p>
        </w:tc>
        <w:tc>
          <w:tcPr>
            <w:tcW w:w="1365" w:type="dxa"/>
            <w:noWrap w:val="0"/>
            <w:vAlign w:val="center"/>
          </w:tcPr>
          <w:p>
            <w:pPr>
              <w:jc w:val="right"/>
              <w:rPr>
                <w:sz w:val="18"/>
                <w:szCs w:val="18"/>
              </w:rPr>
            </w:pPr>
            <w:r>
              <w:rPr>
                <w:rFonts w:hint="eastAsia" w:ascii="宋体" w:hAnsi="宋体"/>
                <w:color w:val="000000"/>
                <w:sz w:val="18"/>
                <w:szCs w:val="18"/>
              </w:rPr>
              <w:t>0.00</w:t>
            </w:r>
          </w:p>
        </w:tc>
        <w:tc>
          <w:tcPr>
            <w:tcW w:w="1155" w:type="dxa"/>
            <w:noWrap w:val="0"/>
            <w:vAlign w:val="center"/>
          </w:tcPr>
          <w:p>
            <w:pPr>
              <w:jc w:val="right"/>
              <w:rPr>
                <w:sz w:val="18"/>
                <w:szCs w:val="18"/>
              </w:rPr>
            </w:pPr>
            <w:r>
              <w:rPr>
                <w:rFonts w:hint="eastAsia" w:ascii="宋体" w:hAnsi="宋体"/>
                <w:color w:val="000000"/>
                <w:sz w:val="18"/>
                <w:szCs w:val="18"/>
              </w:rPr>
              <w:t>0.00</w:t>
            </w:r>
          </w:p>
        </w:tc>
        <w:tc>
          <w:tcPr>
            <w:tcW w:w="1257"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w:t>
            </w:r>
          </w:p>
        </w:tc>
        <w:tc>
          <w:tcPr>
            <w:tcW w:w="2625"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城乡社区支出</w:t>
            </w:r>
          </w:p>
        </w:tc>
        <w:tc>
          <w:tcPr>
            <w:tcW w:w="136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1,378.68</w:t>
            </w:r>
          </w:p>
        </w:tc>
        <w:tc>
          <w:tcPr>
            <w:tcW w:w="115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12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1,031.73</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21201</w:t>
            </w:r>
          </w:p>
        </w:tc>
        <w:tc>
          <w:tcPr>
            <w:tcW w:w="2625"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城乡社区管理事务</w:t>
            </w:r>
          </w:p>
        </w:tc>
        <w:tc>
          <w:tcPr>
            <w:tcW w:w="136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538.79</w:t>
            </w:r>
          </w:p>
        </w:tc>
        <w:tc>
          <w:tcPr>
            <w:tcW w:w="115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12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191.84</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2120101</w:t>
            </w:r>
          </w:p>
        </w:tc>
        <w:tc>
          <w:tcPr>
            <w:tcW w:w="2625"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行政运行</w:t>
            </w:r>
          </w:p>
        </w:tc>
        <w:tc>
          <w:tcPr>
            <w:tcW w:w="136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115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12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2120102</w:t>
            </w:r>
          </w:p>
        </w:tc>
        <w:tc>
          <w:tcPr>
            <w:tcW w:w="2625"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一般行政管理事务</w:t>
            </w:r>
          </w:p>
        </w:tc>
        <w:tc>
          <w:tcPr>
            <w:tcW w:w="136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191.84</w:t>
            </w:r>
          </w:p>
        </w:tc>
        <w:tc>
          <w:tcPr>
            <w:tcW w:w="115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2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191.84</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21202</w:t>
            </w:r>
          </w:p>
        </w:tc>
        <w:tc>
          <w:tcPr>
            <w:tcW w:w="2625"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城乡社区规划与管理</w:t>
            </w:r>
          </w:p>
        </w:tc>
        <w:tc>
          <w:tcPr>
            <w:tcW w:w="136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c>
          <w:tcPr>
            <w:tcW w:w="115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2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2120201</w:t>
            </w:r>
          </w:p>
        </w:tc>
        <w:tc>
          <w:tcPr>
            <w:tcW w:w="2625"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城乡社区规划与管理</w:t>
            </w:r>
          </w:p>
        </w:tc>
        <w:tc>
          <w:tcPr>
            <w:tcW w:w="136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c>
          <w:tcPr>
            <w:tcW w:w="1155"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12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c>
          <w:tcPr>
            <w:tcW w:w="1575" w:type="dxa"/>
            <w:noWrap w:val="0"/>
            <w:vAlign w:val="center"/>
          </w:tcPr>
          <w:p>
            <w:pPr>
              <w:jc w:val="right"/>
              <w:rPr>
                <w:rFonts w:ascii="Calibri" w:hAnsi="Calibri" w:eastAsia="宋体" w:cs="Times New Roman"/>
                <w:kern w:val="2"/>
                <w:sz w:val="18"/>
                <w:szCs w:val="18"/>
                <w:lang w:val="en-US" w:eastAsia="zh-CN" w:bidi="ar-SA"/>
              </w:rPr>
            </w:pPr>
            <w:r>
              <w:rPr>
                <w:rFonts w:hint="eastAsia" w:ascii="宋体" w:hAnsi="宋体"/>
                <w:color w:val="000000"/>
                <w:sz w:val="18"/>
                <w:szCs w:val="18"/>
              </w:rPr>
              <w:t>0.00</w:t>
            </w: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sz w:val="18"/>
                <w:szCs w:val="18"/>
              </w:rPr>
              <w:t>东莞松山湖高新技术产业开发区规划与发展研究中心</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1,378.68</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1,378.68</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1,378.68</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1,378.68</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1,378.68</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sz w:val="18"/>
                <w:szCs w:val="18"/>
              </w:rPr>
              <w:t>东莞松山湖高新技术产业开发区规划与发展研究中心</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1,378.68</w:t>
            </w:r>
          </w:p>
        </w:tc>
        <w:tc>
          <w:tcPr>
            <w:tcW w:w="2310" w:type="dxa"/>
            <w:noWrap w:val="0"/>
            <w:vAlign w:val="center"/>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4302" w:type="dxa"/>
            <w:noWrap w:val="0"/>
            <w:vAlign w:val="center"/>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1,031.73</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permStart w:id="56" w:edGrp="everyone"/>
            <w:r>
              <w:rPr>
                <w:rFonts w:hint="eastAsia" w:ascii="宋体" w:hAnsi="宋体" w:eastAsia="宋体" w:cs="Times New Roman"/>
                <w:color w:val="000000"/>
                <w:sz w:val="18"/>
                <w:szCs w:val="18"/>
              </w:rPr>
              <w:t>[201]一般公共服务支出</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[20101]人大事务</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[20101</w:t>
            </w:r>
            <w:r>
              <w:rPr>
                <w:rFonts w:hint="eastAsia" w:ascii="宋体" w:hAnsi="宋体" w:eastAsia="宋体" w:cs="Times New Roman"/>
                <w:color w:val="000000"/>
                <w:sz w:val="18"/>
                <w:szCs w:val="18"/>
                <w:lang w:val="en-US" w:eastAsia="zh-CN"/>
              </w:rPr>
              <w:t>01</w:t>
            </w:r>
            <w:r>
              <w:rPr>
                <w:rFonts w:hint="eastAsia" w:ascii="宋体" w:hAnsi="宋体" w:eastAsia="宋体" w:cs="Times New Roman"/>
                <w:color w:val="000000"/>
                <w:sz w:val="18"/>
                <w:szCs w:val="18"/>
              </w:rPr>
              <w:t>]行政运行</w:t>
            </w:r>
          </w:p>
        </w:tc>
        <w:tc>
          <w:tcPr>
            <w:tcW w:w="3675"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310"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[212]城乡社区支出</w:t>
            </w:r>
          </w:p>
        </w:tc>
        <w:tc>
          <w:tcPr>
            <w:tcW w:w="3675" w:type="dxa"/>
            <w:gridSpan w:val="2"/>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1,378.68</w:t>
            </w:r>
          </w:p>
        </w:tc>
        <w:tc>
          <w:tcPr>
            <w:tcW w:w="2310"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4302"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1,031.73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[21201]城乡社区管理事务</w:t>
            </w:r>
          </w:p>
        </w:tc>
        <w:tc>
          <w:tcPr>
            <w:tcW w:w="3675" w:type="dxa"/>
            <w:gridSpan w:val="2"/>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538.79</w:t>
            </w:r>
          </w:p>
        </w:tc>
        <w:tc>
          <w:tcPr>
            <w:tcW w:w="2310"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4302"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[2120101]行政运行</w:t>
            </w:r>
          </w:p>
        </w:tc>
        <w:tc>
          <w:tcPr>
            <w:tcW w:w="3675" w:type="dxa"/>
            <w:gridSpan w:val="2"/>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2310"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346.95</w:t>
            </w:r>
          </w:p>
        </w:tc>
        <w:tc>
          <w:tcPr>
            <w:tcW w:w="4302"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[2120102]一般行政管理事务</w:t>
            </w:r>
          </w:p>
        </w:tc>
        <w:tc>
          <w:tcPr>
            <w:tcW w:w="3675" w:type="dxa"/>
            <w:gridSpan w:val="2"/>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191.84</w:t>
            </w:r>
          </w:p>
        </w:tc>
        <w:tc>
          <w:tcPr>
            <w:tcW w:w="2310"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4302"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[21202]城乡社区规划与管理</w:t>
            </w:r>
          </w:p>
        </w:tc>
        <w:tc>
          <w:tcPr>
            <w:tcW w:w="3675" w:type="dxa"/>
            <w:gridSpan w:val="2"/>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c>
          <w:tcPr>
            <w:tcW w:w="2310"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4302"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[2120201]城乡社区规划与管理</w:t>
            </w:r>
          </w:p>
        </w:tc>
        <w:tc>
          <w:tcPr>
            <w:tcW w:w="3675" w:type="dxa"/>
            <w:gridSpan w:val="2"/>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c>
          <w:tcPr>
            <w:tcW w:w="2310"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0.00</w:t>
            </w:r>
          </w:p>
        </w:tc>
        <w:tc>
          <w:tcPr>
            <w:tcW w:w="4302"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839.89</w:t>
            </w: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sz w:val="18"/>
                <w:szCs w:val="18"/>
              </w:rPr>
              <w:t>东莞松山湖高新技术产业开发区规划与发展研究中心</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346.95</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permStart w:id="60" w:edGrp="everyone"/>
            <w:r>
              <w:rPr>
                <w:rFonts w:hint="eastAsia" w:ascii="宋体" w:hAnsi="宋体"/>
                <w:color w:val="000000"/>
                <w:sz w:val="18"/>
                <w:szCs w:val="18"/>
              </w:rPr>
              <w:t>[301]工资福利支出</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309.37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[30101]基本工资</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[30102]津贴补贴</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[30103]奖金</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[30107]绩效工资</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[30108]机关事业单位基本养老保险缴费</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[30109]职业年金缴费</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[30110]职工基本医疗保险缴费</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[30112]其他社会保障缴费</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[30113]住房公积金</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[302]商品和服务支出</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[30201]办公费</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[30299]其他商品和服务支出</w:t>
            </w:r>
          </w:p>
        </w:tc>
        <w:tc>
          <w:tcPr>
            <w:tcW w:w="685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0.68</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sz w:val="18"/>
                <w:szCs w:val="18"/>
              </w:rPr>
              <w:t>东莞松山湖高新技术产业开发区规划与发展研究中心</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7.60</w:t>
            </w:r>
          </w:p>
        </w:tc>
        <w:tc>
          <w:tcPr>
            <w:tcW w:w="2204" w:type="dxa"/>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7.60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spacing w:beforeLines="0" w:afterLines="0"/>
              <w:jc w:val="right"/>
              <w:rPr>
                <w:rFonts w:hint="default"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0.00</w:t>
            </w:r>
          </w:p>
        </w:tc>
        <w:tc>
          <w:tcPr>
            <w:tcW w:w="2204" w:type="dxa"/>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7.60</w:t>
            </w:r>
          </w:p>
        </w:tc>
        <w:tc>
          <w:tcPr>
            <w:tcW w:w="2204" w:type="dxa"/>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7.60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0.00</w:t>
            </w:r>
          </w:p>
        </w:tc>
        <w:tc>
          <w:tcPr>
            <w:tcW w:w="2204" w:type="dxa"/>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s="Times New Roman"/>
                <w:color w:val="000000"/>
                <w:kern w:val="2"/>
                <w:sz w:val="20"/>
                <w:szCs w:val="24"/>
                <w:lang w:val="en-US" w:eastAsia="zh-CN" w:bidi="ar-SA"/>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7.60</w:t>
            </w:r>
          </w:p>
        </w:tc>
        <w:tc>
          <w:tcPr>
            <w:tcW w:w="2204" w:type="dxa"/>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7.60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sz w:val="18"/>
                <w:szCs w:val="18"/>
              </w:rPr>
              <w:t>东莞松山湖高新技术产业开发区规划与发展研究中心</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ermStart w:id="96" w:edGrp="everyone"/>
      <w:permEnd w:id="96"/>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本表本年无发生额。</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sz w:val="18"/>
                <w:szCs w:val="18"/>
              </w:rPr>
              <w:t>东莞松山湖高新技术产业开发区规划与发展研究中心</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ermStart w:id="102" w:edGrp="everyone"/>
      <w:permEnd w:id="102"/>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本表本年无发生额”。</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sz w:val="18"/>
                <w:szCs w:val="18"/>
              </w:rPr>
              <w:t>东莞松山湖高新技术产业开发区规划与发展研究中心</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olor w:val="000000"/>
                <w:sz w:val="18"/>
                <w:szCs w:val="18"/>
              </w:rPr>
              <w:t>1,031.73</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permStart w:id="106" w:edGrp="everyone"/>
            <w:r>
              <w:rPr>
                <w:rFonts w:hint="eastAsia" w:ascii="宋体" w:hAnsi="宋体"/>
                <w:color w:val="000000"/>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1,031.73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[30227]委托业务费</w:t>
            </w:r>
          </w:p>
        </w:tc>
        <w:tc>
          <w:tcPr>
            <w:tcW w:w="7019"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1,024.13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[30231]公务用车运行维护费</w:t>
            </w:r>
          </w:p>
        </w:tc>
        <w:tc>
          <w:tcPr>
            <w:tcW w:w="7019"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7.60</w:t>
            </w:r>
          </w:p>
        </w:tc>
      </w:tr>
      <w:permEnd w:id="10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sz w:val="18"/>
                <w:szCs w:val="18"/>
              </w:rPr>
              <w:t>东莞松山湖高新技术产业开发区规划与发展研究中心</w:t>
            </w:r>
            <w:permEnd w:id="108"/>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olor w:val="000000"/>
                <w:sz w:val="18"/>
                <w:szCs w:val="18"/>
              </w:rPr>
              <w:t>346.95</w:t>
            </w:r>
          </w:p>
        </w:tc>
        <w:tc>
          <w:tcPr>
            <w:tcW w:w="1772" w:type="dxa"/>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olor w:val="000000"/>
                <w:sz w:val="18"/>
                <w:szCs w:val="18"/>
              </w:rPr>
              <w:t>346.95</w:t>
            </w:r>
          </w:p>
        </w:tc>
        <w:tc>
          <w:tcPr>
            <w:tcW w:w="1772" w:type="dxa"/>
            <w:noWrap w:val="0"/>
            <w:vAlign w:val="center"/>
          </w:tcPr>
          <w:p>
            <w:pPr>
              <w:spacing w:beforeLines="0" w:afterLines="0"/>
              <w:jc w:val="right"/>
              <w:rPr>
                <w:rFonts w:hint="eastAsia" w:ascii="宋体" w:hAnsi="宋体" w:eastAsia="宋体" w:cs="Times New Roman"/>
                <w:color w:val="000000"/>
                <w:kern w:val="2"/>
                <w:sz w:val="20"/>
                <w:szCs w:val="24"/>
                <w:lang w:val="en-US" w:eastAsia="zh-CN" w:bidi="ar-SA"/>
              </w:rPr>
            </w:pPr>
            <w:r>
              <w:rPr>
                <w:rFonts w:hint="eastAsia" w:ascii="宋体" w:hAnsi="宋体"/>
                <w:color w:val="000000"/>
                <w:sz w:val="18"/>
                <w:szCs w:val="18"/>
              </w:rPr>
              <w:t>346.95</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permStart w:id="116" w:edGrp="everyone"/>
            <w:r>
              <w:rPr>
                <w:rFonts w:hint="eastAsia" w:ascii="宋体" w:hAnsi="宋体"/>
                <w:color w:val="000000"/>
                <w:sz w:val="18"/>
                <w:szCs w:val="18"/>
              </w:rPr>
              <w:t xml:space="preserve">  工资和福利支出</w:t>
            </w:r>
          </w:p>
        </w:tc>
        <w:tc>
          <w:tcPr>
            <w:tcW w:w="1771"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309.37</w:t>
            </w:r>
          </w:p>
        </w:tc>
        <w:tc>
          <w:tcPr>
            <w:tcW w:w="1772"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309.37</w:t>
            </w:r>
          </w:p>
        </w:tc>
        <w:tc>
          <w:tcPr>
            <w:tcW w:w="1772"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309.37</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商品和服务支出</w:t>
            </w:r>
          </w:p>
        </w:tc>
        <w:tc>
          <w:tcPr>
            <w:tcW w:w="1771"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37.58</w:t>
            </w:r>
          </w:p>
        </w:tc>
        <w:tc>
          <w:tcPr>
            <w:tcW w:w="1772"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37.58</w:t>
            </w:r>
          </w:p>
        </w:tc>
        <w:tc>
          <w:tcPr>
            <w:tcW w:w="1772"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37.58</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1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sz w:val="18"/>
                <w:szCs w:val="18"/>
              </w:rPr>
              <w:t>东莞松山湖高新技术产业开发区规划与发展研究中心</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eastAsia="宋体" w:cs="宋体"/>
                <w:color w:val="000000"/>
                <w:kern w:val="0"/>
                <w:sz w:val="18"/>
                <w:szCs w:val="18"/>
              </w:rPr>
              <w:t>合    计</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1031.73</w:t>
            </w:r>
          </w:p>
        </w:tc>
        <w:tc>
          <w:tcPr>
            <w:tcW w:w="1308"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1031.73</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1031.73</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permStart w:id="127" w:edGrp="everyone"/>
            <w:r>
              <w:rPr>
                <w:rFonts w:hint="eastAsia" w:ascii="宋体" w:hAnsi="宋体"/>
                <w:color w:val="000000"/>
                <w:sz w:val="18"/>
                <w:szCs w:val="18"/>
              </w:rPr>
              <w:t xml:space="preserve">    运行维护经费（通用交通工具）</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7.60</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7.60</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7.60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不动产业务办理及审批耗材经费</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15.00</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15.00</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15.00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档案整理费</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48.40</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48.40</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48.40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不动产登记业务经费</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33.24</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33.24</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33.24</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2023年度不动产交易图纸编制经费</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12.00</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12.00</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12.00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松山湖国土空间规划</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210.80</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210.80</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210.80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松山湖市政工程专项规划</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105.49</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105.49</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105.49</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规划、政策咨询研究经费</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210.00</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210.00</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210.00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入库前期工作经费</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93.60</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93.60</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93.60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控规调整专项经费</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220.00</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220.00</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220.00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top"/>
          </w:tcPr>
          <w:p>
            <w:pPr>
              <w:spacing w:beforeLines="0" w:afterLines="0"/>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 xml:space="preserve">    轨道1号线松山湖站概念性综合规划设计项目</w:t>
            </w:r>
          </w:p>
        </w:tc>
        <w:tc>
          <w:tcPr>
            <w:tcW w:w="1493"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75.60</w:t>
            </w:r>
          </w:p>
        </w:tc>
        <w:tc>
          <w:tcPr>
            <w:tcW w:w="1308"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75.60</w:t>
            </w:r>
          </w:p>
        </w:tc>
        <w:tc>
          <w:tcPr>
            <w:tcW w:w="1417" w:type="dxa"/>
            <w:noWrap w:val="0"/>
            <w:vAlign w:val="top"/>
          </w:tcPr>
          <w:p>
            <w:pPr>
              <w:spacing w:beforeLines="0" w:afterLines="0"/>
              <w:jc w:val="righ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75.60</w:t>
            </w:r>
          </w:p>
        </w:tc>
        <w:tc>
          <w:tcPr>
            <w:tcW w:w="1419"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color w:val="000000"/>
                <w:kern w:val="0"/>
                <w:sz w:val="18"/>
                <w:szCs w:val="18"/>
              </w:rPr>
            </w:pPr>
          </w:p>
        </w:tc>
      </w:tr>
      <w:permEnd w:id="12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29" w:edGrp="everyone"/>
      <w:bookmarkStart w:id="46" w:name="PO_part3Year1"/>
      <w:r>
        <w:rPr>
          <w:rFonts w:hint="eastAsia" w:ascii="黑体" w:hAnsi="黑体" w:eastAsia="黑体" w:cs="方正小标宋简体"/>
          <w:sz w:val="44"/>
          <w:szCs w:val="44"/>
          <w:lang w:val="en-US" w:eastAsia="zh-CN"/>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eastAsia" w:ascii="仿宋_GB2312" w:hAnsi="仿宋_GB2312" w:eastAsia="仿宋_GB2312" w:cs="仿宋_GB2312"/>
          <w:sz w:val="30"/>
          <w:szCs w:val="30"/>
          <w:lang w:val="en-US" w:eastAsia="zh-CN"/>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31" w:edGrp="everyone"/>
      <w:r>
        <w:rPr>
          <w:rFonts w:hint="eastAsia" w:ascii="仿宋_GB2312" w:hAnsi="仿宋_GB2312" w:eastAsia="仿宋_GB2312" w:cs="仿宋_GB2312"/>
          <w:sz w:val="30"/>
          <w:szCs w:val="30"/>
          <w:lang w:val="en-US" w:eastAsia="zh-CN"/>
        </w:rPr>
        <w:t>1378.68</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1IncAmount1"/>
      <w:permStart w:id="132"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939</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33"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40.51</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34" w:edGrp="everyone"/>
      <w:bookmarkStart w:id="51" w:name="PO_part3A1IncReason1"/>
      <w:r>
        <w:rPr>
          <w:rFonts w:hint="eastAsia" w:ascii="仿宋_GB2312" w:hAnsi="仿宋_GB2312" w:eastAsia="仿宋_GB2312" w:cs="仿宋_GB2312"/>
          <w:sz w:val="30"/>
          <w:szCs w:val="30"/>
          <w:lang w:eastAsia="zh-CN"/>
        </w:rPr>
        <w:t>因部分工作已在</w:t>
      </w:r>
      <w:r>
        <w:rPr>
          <w:rFonts w:hint="eastAsia" w:ascii="仿宋_GB2312" w:hAnsi="仿宋_GB2312" w:eastAsia="仿宋_GB2312" w:cs="仿宋_GB2312"/>
          <w:sz w:val="30"/>
          <w:szCs w:val="30"/>
          <w:lang w:val="en-US" w:eastAsia="zh-CN"/>
        </w:rPr>
        <w:t>2022年完成，故</w:t>
      </w:r>
      <w:r>
        <w:rPr>
          <w:rFonts w:hint="eastAsia" w:ascii="仿宋_GB2312" w:hAnsi="仿宋_GB2312" w:eastAsia="仿宋_GB2312" w:cs="仿宋_GB2312"/>
          <w:sz w:val="30"/>
          <w:szCs w:val="30"/>
          <w:lang w:eastAsia="zh-CN"/>
        </w:rPr>
        <w:t>专项预算数减少，如</w:t>
      </w:r>
      <w:r>
        <w:rPr>
          <w:rFonts w:hint="eastAsia" w:ascii="仿宋_GB2312" w:hAnsi="仿宋_GB2312" w:eastAsia="仿宋_GB2312" w:cs="仿宋_GB2312"/>
          <w:sz w:val="30"/>
          <w:szCs w:val="30"/>
        </w:rPr>
        <w:t>东莞市松山湖高新区城市数字智能体——地下官网综合管理平台、规划、政策咨询研究项目等</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35" w:edGrp="everyone"/>
      <w:r>
        <w:rPr>
          <w:rFonts w:hint="eastAsia" w:ascii="仿宋_GB2312" w:hAnsi="仿宋_GB2312" w:eastAsia="仿宋_GB2312" w:cs="仿宋_GB2312"/>
          <w:sz w:val="30"/>
          <w:szCs w:val="30"/>
          <w:lang w:val="en-US" w:eastAsia="zh-CN"/>
        </w:rPr>
        <w:t>1378.68</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bookmarkStart w:id="53" w:name="PO_part3A1IncAmount2"/>
      <w:permStart w:id="136"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939</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7" w:edGrp="everyone"/>
      <w:bookmarkStart w:id="54" w:name="PO_part3A1IncPercent2"/>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40.51</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8" w:edGrp="everyone"/>
      <w:bookmarkStart w:id="55" w:name="PO_part3A1IncReason2"/>
      <w:r>
        <w:rPr>
          <w:rFonts w:hint="eastAsia" w:ascii="仿宋_GB2312" w:hAnsi="仿宋_GB2312" w:eastAsia="仿宋_GB2312" w:cs="仿宋_GB2312"/>
          <w:sz w:val="30"/>
          <w:szCs w:val="30"/>
          <w:lang w:eastAsia="zh-CN"/>
        </w:rPr>
        <w:t>因部分工作已在</w:t>
      </w:r>
      <w:r>
        <w:rPr>
          <w:rFonts w:hint="eastAsia" w:ascii="仿宋_GB2312" w:hAnsi="仿宋_GB2312" w:eastAsia="仿宋_GB2312" w:cs="仿宋_GB2312"/>
          <w:sz w:val="30"/>
          <w:szCs w:val="30"/>
          <w:lang w:val="en-US" w:eastAsia="zh-CN"/>
        </w:rPr>
        <w:t>2022年完成，故</w:t>
      </w:r>
      <w:r>
        <w:rPr>
          <w:rFonts w:hint="eastAsia" w:ascii="仿宋_GB2312" w:hAnsi="仿宋_GB2312" w:eastAsia="仿宋_GB2312" w:cs="仿宋_GB2312"/>
          <w:sz w:val="30"/>
          <w:szCs w:val="30"/>
          <w:lang w:eastAsia="zh-CN"/>
        </w:rPr>
        <w:t>专项预算数减少，如</w:t>
      </w:r>
      <w:r>
        <w:rPr>
          <w:rFonts w:hint="eastAsia" w:ascii="仿宋_GB2312" w:hAnsi="仿宋_GB2312" w:eastAsia="仿宋_GB2312" w:cs="仿宋_GB2312"/>
          <w:sz w:val="30"/>
          <w:szCs w:val="30"/>
        </w:rPr>
        <w:t>东莞市松山湖高新区城市数字智能体——地下官网综合管理平台、规划、政策咨询研究项目等</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40" w:edGrp="everyone"/>
      <w:r>
        <w:rPr>
          <w:rFonts w:hint="eastAsia" w:ascii="仿宋_GB2312" w:hAnsi="仿宋_GB2312" w:eastAsia="仿宋_GB2312" w:cs="仿宋_GB2312"/>
          <w:sz w:val="30"/>
          <w:szCs w:val="30"/>
          <w:lang w:val="en-US" w:eastAsia="zh-CN"/>
        </w:rPr>
        <w:t>7.6</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41"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2</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42"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20.83</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permStart w:id="143" w:edGrp="everyone"/>
      <w:bookmarkStart w:id="60" w:name="PO_part3A2IncReason1"/>
      <w:r>
        <w:rPr>
          <w:rFonts w:hint="eastAsia" w:ascii="仿宋_GB2312" w:hAnsi="仿宋_GB2312" w:eastAsia="仿宋_GB2312" w:cs="仿宋_GB2312"/>
          <w:sz w:val="30"/>
          <w:szCs w:val="30"/>
        </w:rPr>
        <w:t>合理安排预算，秉持厉行节约，杜绝浪费的工作态度和理念，缩减公务接待费</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4" w:edGrp="everyone"/>
      <w:bookmarkStart w:id="61" w:name="PO_part3A2Amount2"/>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permStart w:id="145" w:edGrp="everyone"/>
      <w:bookmarkStart w:id="62" w:name="PO_part3A2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46" w:edGrp="everyone"/>
      <w:bookmarkStart w:id="63" w:name="PO_part3A2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7" w:edGrp="everyone"/>
      <w:bookmarkStart w:id="64" w:name="PO_part3A2IncReason2"/>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8" w:edGrp="everyone"/>
      <w:r>
        <w:rPr>
          <w:rFonts w:hint="eastAsia" w:ascii="仿宋_GB2312" w:hAnsi="仿宋_GB2312" w:eastAsia="仿宋_GB2312" w:cs="仿宋_GB2312"/>
          <w:sz w:val="30"/>
          <w:szCs w:val="30"/>
          <w:lang w:val="en-US" w:eastAsia="zh-CN"/>
        </w:rPr>
        <w:t>7.6</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9" w:edGrp="everyone"/>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50" w:edGrp="everyone"/>
      <w:bookmarkStart w:id="67" w:name="PO_part3A2IncAmount5"/>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8" w:name="PO_part3A2Amount5"/>
      <w:permStart w:id="151" w:edGrp="everyone"/>
      <w:r>
        <w:rPr>
          <w:rFonts w:hint="eastAsia" w:ascii="仿宋_GB2312" w:hAnsi="仿宋_GB2312" w:eastAsia="仿宋_GB2312" w:cs="仿宋_GB2312"/>
          <w:sz w:val="30"/>
          <w:szCs w:val="30"/>
          <w:lang w:val="en-US" w:eastAsia="zh-CN"/>
        </w:rPr>
        <w:t>7.6</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9" w:name="PO_part3A2IncAmount6"/>
      <w:permStart w:id="152"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permStart w:id="153" w:edGrp="everyone"/>
      <w:bookmarkStart w:id="70" w:name="PO_part3A2IncAmount3"/>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4"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permStart w:id="155" w:edGrp="everyone"/>
      <w:bookmarkStart w:id="72" w:name="PO_part3A2IncReason3"/>
      <w:r>
        <w:rPr>
          <w:rFonts w:hint="eastAsia" w:ascii="仿宋_GB2312" w:hAnsi="仿宋_GB2312" w:eastAsia="仿宋_GB2312" w:cs="仿宋_GB2312"/>
          <w:sz w:val="30"/>
          <w:szCs w:val="30"/>
        </w:rPr>
        <w:t>与上年持平，无增减变化）</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permStart w:id="156" w:edGrp="everyone"/>
      <w:bookmarkStart w:id="73" w:name="PO_part3A2Amount6"/>
      <w:r>
        <w:rPr>
          <w:rFonts w:hint="eastAsia" w:ascii="仿宋_GB2312" w:hAnsi="仿宋_GB2312" w:eastAsia="仿宋_GB2312" w:cs="仿宋_GB2312"/>
          <w:sz w:val="30"/>
          <w:szCs w:val="30"/>
          <w:lang w:val="en-US" w:eastAsia="zh-CN"/>
        </w:rPr>
        <w:t>0</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permStart w:id="157" w:edGrp="everyone"/>
      <w:bookmarkStart w:id="74" w:name="PO_part3A2IncAmount4"/>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8"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100</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9" w:edGrp="everyone"/>
      <w:r>
        <w:rPr>
          <w:rFonts w:hint="eastAsia" w:ascii="仿宋_GB2312" w:hAnsi="仿宋_GB2312" w:eastAsia="仿宋_GB2312" w:cs="仿宋_GB2312"/>
          <w:sz w:val="30"/>
          <w:szCs w:val="30"/>
        </w:rPr>
        <w:t>合理安排预算，秉持厉行节约，杜绝浪费的工作态度和理念，缩减公务接待费</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60" w:edGrp="everyone"/>
      <w:r>
        <w:rPr>
          <w:rFonts w:hint="eastAsia" w:ascii="仿宋_GB2312" w:hAnsi="仿宋_GB2312" w:eastAsia="仿宋_GB2312" w:cs="仿宋_GB2312"/>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permStart w:id="161" w:edGrp="everyone"/>
      <w:bookmarkStart w:id="78" w:name="PO_part3A3Amount1"/>
      <w:r>
        <w:rPr>
          <w:rFonts w:hint="eastAsia" w:ascii="仿宋_GB2312" w:hAnsi="仿宋_GB2312" w:eastAsia="仿宋_GB2312" w:cs="仿宋_GB2312"/>
          <w:sz w:val="30"/>
          <w:szCs w:val="30"/>
          <w:lang w:val="en-US" w:eastAsia="zh-CN"/>
        </w:rPr>
        <w:t>0</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62" w:edGrp="everyone"/>
      <w:bookmarkStart w:id="79" w:name="PO_part3A3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63" w:edGrp="everyone"/>
      <w:bookmarkStart w:id="80" w:name="PO_part3A3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64" w:edGrp="everyone"/>
      <w:r>
        <w:rPr>
          <w:rFonts w:hint="eastAsia" w:ascii="仿宋_GB2312" w:hAnsi="仿宋_GB2312" w:eastAsia="仿宋_GB2312" w:cs="仿宋_GB2312"/>
          <w:sz w:val="30"/>
          <w:szCs w:val="30"/>
        </w:rPr>
        <w:t>本部门为非参照公务员法管理的事业单位，按照上述定义，本部门无机关运行经费。</w:t>
      </w:r>
      <w:permEnd w:id="164"/>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6" w:edGrp="everyone"/>
      <w:r>
        <w:rPr>
          <w:rFonts w:hint="eastAsia" w:ascii="仿宋_GB2312" w:hAnsi="仿宋_GB2312" w:eastAsia="仿宋_GB2312" w:cs="仿宋_GB2312"/>
          <w:sz w:val="30"/>
          <w:szCs w:val="30"/>
          <w:lang w:val="en-US" w:eastAsia="zh-CN"/>
        </w:rPr>
        <w:t>930.53</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7" w:edGrp="everyone"/>
      <w:r>
        <w:rPr>
          <w:rFonts w:hint="eastAsia" w:ascii="仿宋_GB2312" w:hAnsi="仿宋_GB2312" w:eastAsia="仿宋_GB2312" w:cs="仿宋_GB2312"/>
          <w:sz w:val="30"/>
          <w:szCs w:val="30"/>
          <w:lang w:val="en-US" w:eastAsia="zh-CN"/>
        </w:rPr>
        <w:t>0</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bookmarkStart w:id="85" w:name="PO_part3A4Amount3"/>
      <w:permStart w:id="168" w:edGrp="everyone"/>
      <w:r>
        <w:rPr>
          <w:rFonts w:hint="eastAsia" w:ascii="仿宋_GB2312" w:hAnsi="仿宋_GB2312" w:eastAsia="仿宋_GB2312" w:cs="仿宋_GB2312"/>
          <w:sz w:val="30"/>
          <w:szCs w:val="30"/>
          <w:lang w:val="en-US" w:eastAsia="zh-CN"/>
        </w:rPr>
        <w:t>821.89</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9" w:edGrp="everyone"/>
      <w:r>
        <w:rPr>
          <w:rFonts w:hint="eastAsia" w:ascii="仿宋_GB2312" w:hAnsi="仿宋_GB2312" w:eastAsia="仿宋_GB2312" w:cs="仿宋_GB2312"/>
          <w:sz w:val="30"/>
          <w:szCs w:val="30"/>
          <w:lang w:val="en-US" w:eastAsia="zh-CN"/>
        </w:rPr>
        <w:t>108.64</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permStart w:id="170" w:edGrp="everyone"/>
      <w:bookmarkStart w:id="87" w:name="PO_part3A5Year1"/>
      <w:r>
        <w:rPr>
          <w:rFonts w:hint="eastAsia" w:ascii="仿宋_GB2312" w:hAnsi="仿宋_GB2312" w:eastAsia="仿宋_GB2312" w:cs="仿宋_GB2312"/>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71" w:edGrp="everyone"/>
      <w:r>
        <w:rPr>
          <w:rFonts w:hint="eastAsia" w:ascii="仿宋_GB2312" w:hAnsi="仿宋_GB2312" w:eastAsia="仿宋_GB2312" w:cs="仿宋_GB2312"/>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permStart w:id="172" w:edGrp="everyone"/>
      <w:bookmarkStart w:id="89" w:name="PO_part3A5Date1"/>
      <w:r>
        <w:rPr>
          <w:rFonts w:hint="eastAsia" w:ascii="仿宋_GB2312" w:hAnsi="仿宋_GB2312" w:eastAsia="仿宋_GB2312" w:cs="仿宋_GB2312"/>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permStart w:id="173" w:edGrp="everyone"/>
      <w:bookmarkStart w:id="90" w:name="PO_part3A5Amount1"/>
      <w:r>
        <w:rPr>
          <w:rFonts w:hint="eastAsia" w:ascii="仿宋_GB2312" w:hAnsi="仿宋_GB2312" w:eastAsia="仿宋_GB2312" w:cs="仿宋_GB2312"/>
          <w:sz w:val="30"/>
          <w:szCs w:val="30"/>
        </w:rPr>
        <w:t>70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46</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permStart w:id="174" w:edGrp="everyone"/>
      <w:bookmarkStart w:id="91" w:name="PO_part3A5Sqace1"/>
      <w:r>
        <w:rPr>
          <w:rFonts w:hint="eastAsia" w:ascii="仿宋_GB2312" w:hAnsi="仿宋_GB2312" w:eastAsia="仿宋_GB2312" w:cs="仿宋_GB2312"/>
          <w:sz w:val="30"/>
          <w:szCs w:val="30"/>
          <w:lang w:val="en-US" w:eastAsia="zh-CN"/>
        </w:rPr>
        <w:t>0</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5" w:edGrp="everyone"/>
      <w:r>
        <w:rPr>
          <w:rFonts w:hint="eastAsia" w:ascii="仿宋_GB2312" w:hAnsi="仿宋_GB2312" w:eastAsia="仿宋_GB2312" w:cs="仿宋_GB2312"/>
          <w:sz w:val="30"/>
          <w:szCs w:val="30"/>
          <w:lang w:val="en-US" w:eastAsia="zh-CN"/>
        </w:rPr>
        <w:t>0</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6" w:edGrp="everyone"/>
      <w:r>
        <w:rPr>
          <w:rFonts w:hint="eastAsia" w:ascii="仿宋_GB2312" w:hAnsi="仿宋_GB2312" w:eastAsia="仿宋_GB2312" w:cs="仿宋_GB2312"/>
          <w:sz w:val="30"/>
          <w:szCs w:val="30"/>
          <w:lang w:val="en-US" w:eastAsia="zh-CN"/>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permStart w:id="177" w:edGrp="everyone"/>
      <w:bookmarkStart w:id="94" w:name="PO_part3A5Amount5"/>
      <w:r>
        <w:rPr>
          <w:rFonts w:hint="eastAsia" w:ascii="仿宋_GB2312" w:hAnsi="仿宋_GB2312" w:eastAsia="仿宋_GB2312" w:cs="仿宋_GB2312"/>
          <w:sz w:val="30"/>
          <w:szCs w:val="30"/>
          <w:lang w:val="en-US" w:eastAsia="zh-CN"/>
        </w:rPr>
        <w:t>8</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permStart w:id="178" w:edGrp="everyone"/>
      <w:bookmarkStart w:id="95" w:name="PO_part3A5Detil1"/>
      <w:r>
        <w:rPr>
          <w:rFonts w:hint="eastAsia" w:ascii="仿宋_GB2312" w:hAnsi="仿宋_GB2312" w:eastAsia="仿宋_GB2312" w:cs="仿宋_GB2312"/>
          <w:sz w:val="30"/>
          <w:szCs w:val="30"/>
          <w:lang w:eastAsia="zh-CN"/>
        </w:rPr>
        <w:t>办公家具、台式计算机、智慧屏</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lang w:val="en-US" w:eastAsia="zh-CN"/>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pPr>
              <w:rPr>
                <w:rFonts w:hint="eastAsia" w:eastAsia="宋体"/>
                <w:lang w:eastAsia="zh-CN"/>
              </w:rPr>
            </w:pPr>
            <w:permStart w:id="180" w:edGrp="everyone"/>
            <w:bookmarkStart w:id="97" w:name="PO_part3Table6"/>
            <w:r>
              <w:rPr>
                <w:rFonts w:hint="eastAsia" w:ascii="宋体" w:hAnsi="宋体" w:cs="宋体"/>
                <w:color w:val="000000"/>
                <w:sz w:val="20"/>
                <w:szCs w:val="20"/>
                <w:lang w:eastAsia="zh-CN"/>
              </w:rPr>
              <w:t>无</w:t>
            </w:r>
          </w:p>
        </w:tc>
        <w:tc>
          <w:tcPr>
            <w:tcW w:w="2127" w:type="dxa"/>
            <w:noWrap w:val="0"/>
            <w:vAlign w:val="top"/>
          </w:tcPr>
          <w:p/>
        </w:tc>
        <w:tc>
          <w:tcPr>
            <w:tcW w:w="2629" w:type="dxa"/>
            <w:noWrap w:val="0"/>
            <w:vAlign w:val="top"/>
          </w:tcPr>
          <w:p/>
        </w:tc>
      </w:tr>
      <w:bookmarkEnd w:id="97"/>
      <w:permEnd w:id="180"/>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81" w:edGrp="everyone"/>
      <w:r>
        <w:rPr>
          <w:rFonts w:hint="eastAsia" w:eastAsia="宋体" w:cs="Times New Roman"/>
          <w:sz w:val="20"/>
          <w:szCs w:val="20"/>
          <w:lang w:eastAsia="zh-CN"/>
        </w:rPr>
        <w:t>请根据实际情况进行备注，如无需备注事项，请写“无”。没有重点项目的，请在表内填“无”,并在此备注“本年度无重点项目。”</w:t>
      </w:r>
      <w:permEnd w:id="181"/>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82"/>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00172A27"/>
    <w:rsid w:val="018362EB"/>
    <w:rsid w:val="03CA6453"/>
    <w:rsid w:val="05390DAD"/>
    <w:rsid w:val="06523A66"/>
    <w:rsid w:val="0754499E"/>
    <w:rsid w:val="09D92F4C"/>
    <w:rsid w:val="0A7C3446"/>
    <w:rsid w:val="0B1F0E32"/>
    <w:rsid w:val="0BB023D2"/>
    <w:rsid w:val="0D0E5602"/>
    <w:rsid w:val="0D821B4C"/>
    <w:rsid w:val="0EF12AE6"/>
    <w:rsid w:val="11C049F1"/>
    <w:rsid w:val="130127AB"/>
    <w:rsid w:val="13A1069C"/>
    <w:rsid w:val="14A25D60"/>
    <w:rsid w:val="16143208"/>
    <w:rsid w:val="16773558"/>
    <w:rsid w:val="188449CB"/>
    <w:rsid w:val="1B700AD7"/>
    <w:rsid w:val="1BC37217"/>
    <w:rsid w:val="1C62280D"/>
    <w:rsid w:val="1D0F20D7"/>
    <w:rsid w:val="1D665AB2"/>
    <w:rsid w:val="21E25AEE"/>
    <w:rsid w:val="221B63A0"/>
    <w:rsid w:val="232C0139"/>
    <w:rsid w:val="248440EB"/>
    <w:rsid w:val="28712AA9"/>
    <w:rsid w:val="2A202079"/>
    <w:rsid w:val="2BC0263B"/>
    <w:rsid w:val="2BD63918"/>
    <w:rsid w:val="2CAD5E46"/>
    <w:rsid w:val="2CF25F4F"/>
    <w:rsid w:val="2D2B320F"/>
    <w:rsid w:val="2E1343CF"/>
    <w:rsid w:val="2F4E53C5"/>
    <w:rsid w:val="2F9F5447"/>
    <w:rsid w:val="34D04DC8"/>
    <w:rsid w:val="36337BCB"/>
    <w:rsid w:val="39752695"/>
    <w:rsid w:val="3BB3149A"/>
    <w:rsid w:val="3C2F15BA"/>
    <w:rsid w:val="3DC079A3"/>
    <w:rsid w:val="3EEC2B1F"/>
    <w:rsid w:val="409A7DFF"/>
    <w:rsid w:val="4242307D"/>
    <w:rsid w:val="42B56795"/>
    <w:rsid w:val="42F3427F"/>
    <w:rsid w:val="453C3186"/>
    <w:rsid w:val="45CA2DE4"/>
    <w:rsid w:val="477535AD"/>
    <w:rsid w:val="49C47069"/>
    <w:rsid w:val="4B79303A"/>
    <w:rsid w:val="4D334636"/>
    <w:rsid w:val="4D673998"/>
    <w:rsid w:val="4DA656DE"/>
    <w:rsid w:val="4EF23735"/>
    <w:rsid w:val="511107EA"/>
    <w:rsid w:val="528648C0"/>
    <w:rsid w:val="537B019D"/>
    <w:rsid w:val="55E24503"/>
    <w:rsid w:val="584C33F4"/>
    <w:rsid w:val="590429E2"/>
    <w:rsid w:val="596A4F3B"/>
    <w:rsid w:val="5B1C04B7"/>
    <w:rsid w:val="5EA01840"/>
    <w:rsid w:val="60FF18A0"/>
    <w:rsid w:val="61D752FC"/>
    <w:rsid w:val="622C7755"/>
    <w:rsid w:val="63A66900"/>
    <w:rsid w:val="654D0879"/>
    <w:rsid w:val="65645F25"/>
    <w:rsid w:val="686A0AB4"/>
    <w:rsid w:val="6917406C"/>
    <w:rsid w:val="6AB73D58"/>
    <w:rsid w:val="6D6F091A"/>
    <w:rsid w:val="6EB81E4D"/>
    <w:rsid w:val="72E7636A"/>
    <w:rsid w:val="72FB055A"/>
    <w:rsid w:val="75DE0717"/>
    <w:rsid w:val="77585F7B"/>
    <w:rsid w:val="788710E1"/>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5541</Words>
  <Characters>6578</Characters>
  <Lines>0</Lines>
  <Paragraphs>0</Paragraphs>
  <TotalTime>5</TotalTime>
  <ScaleCrop>false</ScaleCrop>
  <LinksUpToDate>false</LinksUpToDate>
  <CharactersWithSpaces>6962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松山湖信息公开</cp:lastModifiedBy>
  <dcterms:modified xsi:type="dcterms:W3CDTF">2023-03-10T06:12:57Z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