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pBdr>
          <w:top w:val="none" w:color="auto" w:sz="0" w:space="0"/>
          <w:left w:val="none" w:color="auto" w:sz="0" w:space="0"/>
          <w:bottom w:val="none" w:color="auto" w:sz="0" w:space="0"/>
          <w:right w:val="none" w:color="auto" w:sz="0" w:space="0"/>
        </w:pBdr>
        <w:jc w:val="center"/>
        <w:outlineLvl w:val="9"/>
        <w:rPr>
          <w:rFonts w:eastAsia="方正小标宋简体" w:cs="Times New Roman"/>
          <w:b/>
          <w:bCs/>
          <w:color w:val="auto"/>
          <w:sz w:val="44"/>
          <w:szCs w:val="44"/>
          <w:highlight w:val="none"/>
          <w:lang w:val="zh-TW" w:eastAsia="zh-TW"/>
        </w:rPr>
      </w:pPr>
      <w:bookmarkStart w:id="22" w:name="_GoBack"/>
      <w:bookmarkEnd w:id="22"/>
    </w:p>
    <w:p>
      <w:pPr>
        <w:framePr w:wrap="auto" w:vAnchor="margin" w:hAnchor="text" w:yAlign="inline"/>
        <w:pBdr>
          <w:top w:val="none" w:color="auto" w:sz="0" w:space="0"/>
          <w:left w:val="none" w:color="auto" w:sz="0" w:space="0"/>
          <w:bottom w:val="none" w:color="auto" w:sz="0" w:space="0"/>
          <w:right w:val="none" w:color="auto" w:sz="0" w:space="0"/>
        </w:pBdr>
        <w:jc w:val="center"/>
        <w:outlineLvl w:val="9"/>
        <w:rPr>
          <w:rFonts w:eastAsia="方正小标宋简体" w:cs="Times New Roman"/>
          <w:b/>
          <w:bCs/>
          <w:color w:val="auto"/>
          <w:sz w:val="44"/>
          <w:szCs w:val="44"/>
          <w:highlight w:val="none"/>
          <w:lang w:val="zh-TW"/>
        </w:rPr>
      </w:pPr>
      <w:r>
        <w:rPr>
          <w:rFonts w:eastAsia="方正小标宋简体" w:cs="Times New Roman"/>
          <w:b/>
          <w:bCs/>
          <w:color w:val="auto"/>
          <w:sz w:val="44"/>
          <w:szCs w:val="44"/>
          <w:highlight w:val="none"/>
          <w:lang w:val="zh-TW" w:eastAsia="zh-TW"/>
        </w:rPr>
        <w:t>东莞市</w:t>
      </w:r>
      <w:r>
        <w:rPr>
          <w:rFonts w:hint="eastAsia" w:eastAsia="方正小标宋简体" w:cs="Times New Roman"/>
          <w:b/>
          <w:bCs/>
          <w:color w:val="auto"/>
          <w:sz w:val="44"/>
          <w:szCs w:val="44"/>
          <w:highlight w:val="none"/>
          <w:lang w:val="en-US" w:eastAsia="zh-CN"/>
        </w:rPr>
        <w:t>松山湖高新技术产业开发区</w:t>
      </w:r>
      <w:r>
        <w:rPr>
          <w:rFonts w:eastAsia="方正小标宋简体" w:cs="Times New Roman"/>
          <w:b/>
          <w:bCs/>
          <w:color w:val="auto"/>
          <w:sz w:val="44"/>
          <w:szCs w:val="44"/>
          <w:highlight w:val="none"/>
          <w:lang w:val="zh-TW" w:eastAsia="zh-TW"/>
        </w:rPr>
        <w:t>财政支出绩效评价</w:t>
      </w:r>
      <w:r>
        <w:rPr>
          <w:rFonts w:hint="eastAsia" w:eastAsia="方正小标宋简体" w:cs="Times New Roman"/>
          <w:b/>
          <w:bCs/>
          <w:color w:val="auto"/>
          <w:sz w:val="44"/>
          <w:szCs w:val="44"/>
          <w:highlight w:val="none"/>
          <w:lang w:val="zh-TW"/>
        </w:rPr>
        <w:t>报告</w:t>
      </w: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firstLine="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238" w:leftChars="266" w:hanging="1600" w:hangingChars="500"/>
        <w:rPr>
          <w:rFonts w:eastAsia="黑体" w:cs="Times New Roman"/>
          <w:color w:val="auto"/>
          <w:sz w:val="32"/>
          <w:szCs w:val="32"/>
          <w:highlight w:val="none"/>
          <w:lang w:val="zh-TW" w:eastAsia="zh-TW"/>
        </w:rPr>
      </w:pPr>
    </w:p>
    <w:p>
      <w:pPr>
        <w:framePr w:wrap="auto" w:vAnchor="margin" w:hAnchor="text" w:yAlign="inline"/>
        <w:pBdr>
          <w:top w:val="none" w:color="auto" w:sz="0" w:space="0"/>
          <w:left w:val="none" w:color="auto" w:sz="0" w:space="0"/>
          <w:bottom w:val="none" w:color="auto" w:sz="0" w:space="0"/>
          <w:right w:val="none" w:color="auto" w:sz="0" w:space="0"/>
        </w:pBdr>
        <w:ind w:left="2558" w:leftChars="266" w:hanging="1920" w:hangingChars="600"/>
        <w:rPr>
          <w:rFonts w:eastAsia="仿宋" w:cs="Times New Roman"/>
          <w:b/>
          <w:bCs/>
          <w:color w:val="auto"/>
          <w:sz w:val="32"/>
          <w:szCs w:val="32"/>
          <w:highlight w:val="none"/>
        </w:rPr>
      </w:pPr>
      <w:r>
        <w:rPr>
          <w:rFonts w:eastAsia="黑体" w:cs="Times New Roman"/>
          <w:color w:val="auto"/>
          <w:sz w:val="32"/>
          <w:szCs w:val="32"/>
          <w:highlight w:val="none"/>
          <w:lang w:val="zh-TW" w:eastAsia="zh-TW"/>
        </w:rPr>
        <w:t>项目名称</w:t>
      </w:r>
      <w:r>
        <w:rPr>
          <w:rFonts w:eastAsia="黑体" w:cs="Times New Roman"/>
          <w:color w:val="auto"/>
          <w:sz w:val="32"/>
          <w:szCs w:val="32"/>
          <w:highlight w:val="none"/>
        </w:rPr>
        <w:t>:</w:t>
      </w:r>
      <w:r>
        <w:rPr>
          <w:rFonts w:hint="eastAsia" w:eastAsia="黑体" w:cs="Times New Roman"/>
          <w:color w:val="auto"/>
          <w:sz w:val="32"/>
          <w:szCs w:val="32"/>
          <w:highlight w:val="none"/>
        </w:rPr>
        <w:t xml:space="preserve">   </w:t>
      </w:r>
      <w:r>
        <w:rPr>
          <w:rFonts w:hint="eastAsia" w:eastAsia="仿宋" w:cs="Times New Roman"/>
          <w:b/>
          <w:bCs/>
          <w:color w:val="auto"/>
          <w:sz w:val="32"/>
          <w:szCs w:val="32"/>
          <w:highlight w:val="none"/>
          <w:lang w:val="en-US" w:eastAsia="zh-CN"/>
        </w:rPr>
        <w:t>松山湖高新技术产业开发区政务服务</w:t>
      </w:r>
      <w:r>
        <w:rPr>
          <w:rFonts w:hint="eastAsia" w:eastAsia="仿宋" w:cs="Times New Roman"/>
          <w:b/>
          <w:bCs/>
          <w:color w:val="auto"/>
          <w:sz w:val="32"/>
          <w:szCs w:val="32"/>
          <w:highlight w:val="none"/>
        </w:rPr>
        <w:t>中心</w:t>
      </w:r>
    </w:p>
    <w:p>
      <w:pPr>
        <w:framePr w:wrap="auto" w:vAnchor="margin" w:hAnchor="text" w:yAlign="inline"/>
        <w:pBdr>
          <w:top w:val="none" w:color="auto" w:sz="0" w:space="0"/>
          <w:left w:val="none" w:color="auto" w:sz="0" w:space="0"/>
          <w:bottom w:val="none" w:color="auto" w:sz="0" w:space="0"/>
          <w:right w:val="none" w:color="auto" w:sz="0" w:space="0"/>
        </w:pBdr>
        <w:ind w:firstLine="2570" w:firstLineChars="800"/>
        <w:outlineLvl w:val="9"/>
        <w:rPr>
          <w:rFonts w:eastAsia="仿宋" w:cs="Times New Roman"/>
          <w:b/>
          <w:bCs/>
          <w:color w:val="auto"/>
          <w:sz w:val="32"/>
          <w:szCs w:val="32"/>
          <w:highlight w:val="none"/>
          <w:lang w:val="zh-TW" w:eastAsia="zh-TW"/>
        </w:rPr>
      </w:pPr>
      <w:r>
        <w:rPr>
          <w:rFonts w:hint="eastAsia" w:eastAsia="仿宋" w:cs="Times New Roman"/>
          <w:b/>
          <w:bCs/>
          <w:color w:val="auto"/>
          <w:sz w:val="32"/>
          <w:szCs w:val="32"/>
          <w:highlight w:val="none"/>
        </w:rPr>
        <w:t>202</w:t>
      </w:r>
      <w:r>
        <w:rPr>
          <w:rFonts w:hint="eastAsia" w:eastAsia="仿宋" w:cs="Times New Roman"/>
          <w:b/>
          <w:bCs/>
          <w:color w:val="auto"/>
          <w:sz w:val="32"/>
          <w:szCs w:val="32"/>
          <w:highlight w:val="none"/>
          <w:lang w:val="en-US" w:eastAsia="zh-CN"/>
        </w:rPr>
        <w:t>2</w:t>
      </w:r>
      <w:r>
        <w:rPr>
          <w:rFonts w:eastAsia="仿宋" w:cs="Times New Roman"/>
          <w:b/>
          <w:bCs/>
          <w:color w:val="auto"/>
          <w:sz w:val="32"/>
          <w:szCs w:val="32"/>
          <w:highlight w:val="none"/>
          <w:lang w:val="zh-TW" w:eastAsia="zh-TW"/>
        </w:rPr>
        <w:t>年度部门整体支出绩效评价</w:t>
      </w:r>
    </w:p>
    <w:p>
      <w:pPr>
        <w:framePr w:wrap="auto" w:vAnchor="margin" w:hAnchor="text" w:yAlign="inline"/>
        <w:pBdr>
          <w:top w:val="none" w:color="auto" w:sz="0" w:space="0"/>
          <w:left w:val="none" w:color="auto" w:sz="0" w:space="0"/>
          <w:bottom w:val="none" w:color="auto" w:sz="0" w:space="0"/>
          <w:right w:val="none" w:color="auto" w:sz="0" w:space="0"/>
        </w:pBdr>
        <w:ind w:firstLine="640"/>
        <w:jc w:val="right"/>
        <w:rPr>
          <w:rFonts w:cs="Times New Roman"/>
          <w:color w:val="auto"/>
          <w:sz w:val="32"/>
          <w:szCs w:val="32"/>
          <w:highlight w:val="none"/>
        </w:rPr>
      </w:pPr>
    </w:p>
    <w:p>
      <w:pPr>
        <w:framePr w:wrap="auto" w:vAnchor="margin" w:hAnchor="text" w:yAlign="inline"/>
        <w:pBdr>
          <w:top w:val="none" w:color="auto" w:sz="0" w:space="0"/>
          <w:left w:val="none" w:color="auto" w:sz="0" w:space="0"/>
          <w:bottom w:val="none" w:color="auto" w:sz="0" w:space="0"/>
          <w:right w:val="none" w:color="auto" w:sz="0" w:space="0"/>
        </w:pBdr>
        <w:ind w:firstLine="640"/>
        <w:jc w:val="right"/>
        <w:rPr>
          <w:rFonts w:cs="Times New Roman"/>
          <w:color w:val="auto"/>
          <w:sz w:val="32"/>
          <w:szCs w:val="32"/>
          <w:highlight w:val="none"/>
        </w:rPr>
      </w:pPr>
    </w:p>
    <w:p>
      <w:pPr>
        <w:framePr w:wrap="auto" w:vAnchor="margin" w:hAnchor="text" w:yAlign="inline"/>
        <w:pBdr>
          <w:top w:val="none" w:color="auto" w:sz="0" w:space="0"/>
          <w:left w:val="none" w:color="auto" w:sz="0" w:space="0"/>
          <w:bottom w:val="none" w:color="auto" w:sz="0" w:space="0"/>
          <w:right w:val="none" w:color="auto" w:sz="0" w:space="0"/>
        </w:pBdr>
        <w:ind w:firstLine="640"/>
        <w:jc w:val="right"/>
        <w:rPr>
          <w:rFonts w:cs="Times New Roman"/>
          <w:color w:val="auto"/>
          <w:sz w:val="32"/>
          <w:szCs w:val="32"/>
          <w:highlight w:val="none"/>
        </w:rPr>
      </w:pPr>
    </w:p>
    <w:p>
      <w:pPr>
        <w:framePr w:wrap="auto" w:vAnchor="margin" w:hAnchor="text" w:yAlign="inline"/>
        <w:pBdr>
          <w:top w:val="none" w:color="auto" w:sz="0" w:space="0"/>
          <w:left w:val="none" w:color="auto" w:sz="0" w:space="0"/>
          <w:bottom w:val="none" w:color="auto" w:sz="0" w:space="0"/>
          <w:right w:val="none" w:color="auto" w:sz="0" w:space="0"/>
        </w:pBdr>
        <w:ind w:firstLine="640"/>
        <w:jc w:val="right"/>
        <w:rPr>
          <w:rFonts w:cs="Times New Roman"/>
          <w:color w:val="auto"/>
          <w:sz w:val="32"/>
          <w:szCs w:val="32"/>
          <w:highlight w:val="none"/>
        </w:rPr>
      </w:pPr>
    </w:p>
    <w:p>
      <w:pPr>
        <w:framePr w:wrap="auto" w:vAnchor="margin" w:hAnchor="text" w:yAlign="inline"/>
        <w:pBdr>
          <w:top w:val="none" w:color="auto" w:sz="0" w:space="0"/>
          <w:left w:val="none" w:color="auto" w:sz="0" w:space="0"/>
          <w:bottom w:val="none" w:color="auto" w:sz="0" w:space="0"/>
          <w:right w:val="none" w:color="auto" w:sz="0" w:space="0"/>
        </w:pBdr>
        <w:ind w:right="320" w:firstLine="0"/>
        <w:jc w:val="center"/>
        <w:rPr>
          <w:rFonts w:eastAsia="仿宋" w:cs="Times New Roman"/>
          <w:color w:val="auto"/>
          <w:sz w:val="32"/>
          <w:szCs w:val="32"/>
          <w:highlight w:val="none"/>
        </w:rPr>
      </w:pPr>
      <w:r>
        <w:rPr>
          <w:rFonts w:eastAsia="仿宋" w:cs="Times New Roman"/>
          <w:color w:val="auto"/>
          <w:sz w:val="32"/>
          <w:szCs w:val="32"/>
          <w:highlight w:val="none"/>
          <w:lang w:val="zh-TW" w:eastAsia="zh-TW"/>
        </w:rPr>
        <w:t>报告日期</w:t>
      </w:r>
      <w:r>
        <w:rPr>
          <w:rFonts w:cs="Times New Roman"/>
          <w:color w:val="auto"/>
          <w:sz w:val="32"/>
          <w:szCs w:val="32"/>
          <w:highlight w:val="none"/>
        </w:rPr>
        <w:t>:</w:t>
      </w:r>
      <w:r>
        <w:rPr>
          <w:rFonts w:hint="eastAsia" w:cs="Times New Roman"/>
          <w:color w:val="auto"/>
          <w:sz w:val="32"/>
          <w:szCs w:val="32"/>
          <w:highlight w:val="none"/>
        </w:rPr>
        <w:t xml:space="preserve">  </w:t>
      </w:r>
      <w:r>
        <w:rPr>
          <w:rFonts w:cs="Times New Roman"/>
          <w:color w:val="auto"/>
          <w:sz w:val="32"/>
          <w:szCs w:val="32"/>
          <w:highlight w:val="none"/>
        </w:rPr>
        <w:t>20</w:t>
      </w:r>
      <w:r>
        <w:rPr>
          <w:rFonts w:hint="eastAsia" w:cs="Times New Roman"/>
          <w:color w:val="auto"/>
          <w:sz w:val="32"/>
          <w:szCs w:val="32"/>
          <w:highlight w:val="none"/>
        </w:rPr>
        <w:t>2</w:t>
      </w:r>
      <w:r>
        <w:rPr>
          <w:rFonts w:hint="eastAsia" w:cs="Times New Roman"/>
          <w:color w:val="auto"/>
          <w:sz w:val="32"/>
          <w:szCs w:val="32"/>
          <w:highlight w:val="none"/>
          <w:lang w:val="en-US" w:eastAsia="zh-CN"/>
        </w:rPr>
        <w:t>3</w:t>
      </w:r>
      <w:r>
        <w:rPr>
          <w:rFonts w:eastAsia="仿宋" w:cs="Times New Roman"/>
          <w:color w:val="auto"/>
          <w:sz w:val="32"/>
          <w:szCs w:val="32"/>
          <w:highlight w:val="none"/>
          <w:lang w:val="zh-TW" w:eastAsia="zh-TW"/>
        </w:rPr>
        <w:t>年</w:t>
      </w:r>
      <w:r>
        <w:rPr>
          <w:rFonts w:hint="eastAsia" w:eastAsia="仿宋" w:cs="Times New Roman"/>
          <w:color w:val="auto"/>
          <w:sz w:val="32"/>
          <w:szCs w:val="32"/>
          <w:highlight w:val="none"/>
          <w:lang w:val="en-US" w:eastAsia="zh-CN"/>
        </w:rPr>
        <w:t>7</w:t>
      </w:r>
      <w:r>
        <w:rPr>
          <w:rFonts w:eastAsia="仿宋" w:cs="Times New Roman"/>
          <w:color w:val="auto"/>
          <w:sz w:val="32"/>
          <w:szCs w:val="32"/>
          <w:highlight w:val="none"/>
          <w:lang w:val="zh-TW" w:eastAsia="zh-TW"/>
        </w:rPr>
        <w:t>月</w:t>
      </w:r>
    </w:p>
    <w:p>
      <w:pPr>
        <w:framePr w:wrap="auto" w:vAnchor="margin" w:hAnchor="text" w:yAlign="inline"/>
        <w:pBdr>
          <w:top w:val="none" w:color="auto" w:sz="0" w:space="0"/>
          <w:left w:val="none" w:color="auto" w:sz="0" w:space="0"/>
          <w:bottom w:val="none" w:color="auto" w:sz="0" w:space="0"/>
          <w:right w:val="none" w:color="auto" w:sz="0" w:space="0"/>
        </w:pBdr>
        <w:ind w:firstLine="2560" w:firstLineChars="800"/>
        <w:jc w:val="both"/>
        <w:rPr>
          <w:rFonts w:cs="Times New Roman"/>
          <w:color w:val="auto"/>
          <w:sz w:val="32"/>
          <w:szCs w:val="32"/>
          <w:highlight w:val="none"/>
        </w:rPr>
      </w:pPr>
      <w:r>
        <w:rPr>
          <w:rFonts w:eastAsia="仿宋" w:cs="Times New Roman"/>
          <w:color w:val="auto"/>
          <w:sz w:val="32"/>
          <w:szCs w:val="32"/>
          <w:highlight w:val="none"/>
          <w:lang w:val="zh-TW" w:eastAsia="zh-TW"/>
        </w:rPr>
        <w:t>受委托评价机构</w:t>
      </w:r>
      <w:r>
        <w:rPr>
          <w:rFonts w:cs="Times New Roman"/>
          <w:color w:val="auto"/>
          <w:sz w:val="32"/>
          <w:szCs w:val="32"/>
          <w:highlight w:val="none"/>
        </w:rPr>
        <w:t>(</w:t>
      </w:r>
      <w:r>
        <w:rPr>
          <w:rFonts w:eastAsia="仿宋" w:cs="Times New Roman"/>
          <w:color w:val="auto"/>
          <w:sz w:val="32"/>
          <w:szCs w:val="32"/>
          <w:highlight w:val="none"/>
          <w:lang w:val="zh-TW" w:eastAsia="zh-TW"/>
        </w:rPr>
        <w:t>盖章</w:t>
      </w:r>
      <w:r>
        <w:rPr>
          <w:rFonts w:cs="Times New Roman"/>
          <w:color w:val="auto"/>
          <w:sz w:val="32"/>
          <w:szCs w:val="32"/>
          <w:highlight w:val="none"/>
        </w:rPr>
        <w:t>)</w:t>
      </w:r>
    </w:p>
    <w:p>
      <w:pPr>
        <w:framePr w:wrap="auto" w:vAnchor="margin" w:hAnchor="text" w:yAlign="inline"/>
        <w:pBdr>
          <w:top w:val="none" w:color="auto" w:sz="0" w:space="0"/>
          <w:left w:val="none" w:color="auto" w:sz="0" w:space="0"/>
          <w:bottom w:val="none" w:color="auto" w:sz="0" w:space="0"/>
          <w:right w:val="none" w:color="auto" w:sz="0" w:space="0"/>
        </w:pBdr>
        <w:jc w:val="center"/>
        <w:rPr>
          <w:rFonts w:eastAsia="方正小标宋简体" w:cs="Times New Roman"/>
          <w:b/>
          <w:bCs/>
          <w:color w:val="auto"/>
          <w:sz w:val="44"/>
          <w:szCs w:val="44"/>
          <w:highlight w:val="none"/>
          <w:lang w:val="zh-TW"/>
        </w:rPr>
      </w:pPr>
    </w:p>
    <w:p>
      <w:pPr>
        <w:framePr w:wrap="auto" w:vAnchor="margin" w:hAnchor="text" w:yAlign="inline"/>
        <w:pBdr>
          <w:top w:val="none" w:color="auto" w:sz="0" w:space="0"/>
          <w:left w:val="none" w:color="auto" w:sz="0" w:space="0"/>
          <w:bottom w:val="none" w:color="auto" w:sz="0" w:space="0"/>
          <w:right w:val="none" w:color="auto" w:sz="0" w:space="0"/>
        </w:pBdr>
        <w:jc w:val="center"/>
        <w:rPr>
          <w:rFonts w:eastAsia="方正小标宋简体" w:cs="Times New Roman"/>
          <w:b/>
          <w:bCs/>
          <w:color w:val="auto"/>
          <w:sz w:val="44"/>
          <w:szCs w:val="44"/>
          <w:highlight w:val="none"/>
          <w:lang w:val="zh-TW"/>
        </w:rPr>
      </w:pPr>
    </w:p>
    <w:p>
      <w:pPr>
        <w:pStyle w:val="14"/>
        <w:framePr w:wrap="auto" w:vAnchor="margin" w:hAnchor="text" w:yAlign="inline"/>
        <w:pBdr>
          <w:top w:val="none" w:color="auto" w:sz="0" w:space="0"/>
          <w:left w:val="none" w:color="auto" w:sz="0" w:space="0"/>
          <w:bottom w:val="none" w:color="auto" w:sz="0" w:space="0"/>
          <w:right w:val="none" w:color="auto" w:sz="0" w:space="0"/>
        </w:pBdr>
        <w:jc w:val="center"/>
        <w:rPr>
          <w:rFonts w:eastAsia="黑体"/>
          <w:color w:val="auto"/>
          <w:sz w:val="32"/>
          <w:szCs w:val="32"/>
          <w:highlight w:val="none"/>
          <w:lang w:val="zh-TW" w:eastAsia="zh-TW"/>
        </w:rPr>
        <w:sectPr>
          <w:pgSz w:w="11906" w:h="16838"/>
          <w:pgMar w:top="1440" w:right="1800" w:bottom="1440" w:left="1800" w:header="1020" w:footer="992" w:gutter="0"/>
          <w:pgNumType w:start="1"/>
          <w:cols w:space="720" w:num="1"/>
          <w:docGrid w:type="lines" w:linePitch="312" w:charSpace="0"/>
        </w:sectPr>
      </w:pPr>
    </w:p>
    <w:p>
      <w:pPr>
        <w:framePr w:wrap="auto" w:vAnchor="margin" w:hAnchor="text" w:yAlign="inline"/>
        <w:spacing w:line="600" w:lineRule="exact"/>
        <w:ind w:firstLine="640" w:firstLineChars="200"/>
        <w:jc w:val="center"/>
        <w:outlineLvl w:val="9"/>
        <w:rPr>
          <w:rFonts w:eastAsia="黑体"/>
          <w:color w:val="auto"/>
          <w:sz w:val="32"/>
          <w:szCs w:val="32"/>
          <w:highlight w:val="none"/>
          <w:lang w:val="zh-TW" w:eastAsia="zh-TW"/>
        </w:rPr>
      </w:pPr>
      <w:r>
        <w:rPr>
          <w:rFonts w:eastAsia="黑体"/>
          <w:color w:val="auto"/>
          <w:sz w:val="32"/>
          <w:szCs w:val="32"/>
          <w:highlight w:val="none"/>
          <w:lang w:val="zh-TW" w:eastAsia="zh-TW"/>
        </w:rPr>
        <w:t>摘</w:t>
      </w:r>
      <w:r>
        <w:rPr>
          <w:rFonts w:hint="eastAsia" w:eastAsia="黑体"/>
          <w:color w:val="auto"/>
          <w:sz w:val="32"/>
          <w:szCs w:val="32"/>
          <w:highlight w:val="none"/>
          <w:lang w:val="en-US" w:eastAsia="zh-CN"/>
        </w:rPr>
        <w:t xml:space="preserve"> </w:t>
      </w:r>
      <w:r>
        <w:rPr>
          <w:rFonts w:eastAsia="黑体"/>
          <w:color w:val="auto"/>
          <w:sz w:val="32"/>
          <w:szCs w:val="32"/>
          <w:highlight w:val="none"/>
          <w:lang w:val="zh-TW" w:eastAsia="zh-TW"/>
        </w:rPr>
        <w:t>要</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zh-TW"/>
        </w:rPr>
      </w:pPr>
      <w:r>
        <w:rPr>
          <w:rFonts w:hint="eastAsia" w:ascii="仿宋" w:hAnsi="仿宋" w:eastAsia="仿宋" w:cs="仿宋"/>
          <w:color w:val="auto"/>
          <w:sz w:val="32"/>
          <w:szCs w:val="32"/>
          <w:highlight w:val="none"/>
          <w:lang w:val="zh-TW" w:eastAsia="zh-TW"/>
        </w:rPr>
        <w:t>受东莞市财政局</w:t>
      </w:r>
      <w:r>
        <w:rPr>
          <w:rFonts w:hint="eastAsia" w:ascii="仿宋" w:hAnsi="仿宋" w:eastAsia="仿宋" w:cs="仿宋"/>
          <w:color w:val="auto"/>
          <w:sz w:val="32"/>
          <w:szCs w:val="32"/>
          <w:highlight w:val="none"/>
          <w:lang w:val="en-US" w:eastAsia="zh-CN"/>
        </w:rPr>
        <w:t>松山湖</w:t>
      </w:r>
      <w:r>
        <w:rPr>
          <w:rFonts w:hint="eastAsia" w:ascii="仿宋" w:hAnsi="仿宋" w:eastAsia="仿宋" w:cs="仿宋"/>
          <w:color w:val="auto"/>
          <w:sz w:val="32"/>
          <w:szCs w:val="32"/>
          <w:highlight w:val="none"/>
        </w:rPr>
        <w:t>分局</w:t>
      </w:r>
      <w:r>
        <w:rPr>
          <w:rFonts w:hint="eastAsia" w:ascii="仿宋" w:hAnsi="仿宋" w:eastAsia="仿宋" w:cs="仿宋"/>
          <w:color w:val="auto"/>
          <w:sz w:val="32"/>
          <w:szCs w:val="32"/>
          <w:highlight w:val="none"/>
          <w:lang w:val="zh-TW" w:eastAsia="zh-TW"/>
        </w:rPr>
        <w:t>委托，本单位作为第三方机构对东莞市</w:t>
      </w:r>
      <w:r>
        <w:rPr>
          <w:rFonts w:hint="eastAsia" w:ascii="仿宋" w:hAnsi="仿宋" w:eastAsia="仿宋" w:cs="仿宋"/>
          <w:color w:val="auto"/>
          <w:sz w:val="32"/>
          <w:szCs w:val="32"/>
          <w:highlight w:val="none"/>
          <w:lang w:val="en-US" w:eastAsia="zh-CN"/>
        </w:rPr>
        <w:t>松山湖高新技术产业开发区政务服务</w:t>
      </w:r>
      <w:r>
        <w:rPr>
          <w:rFonts w:hint="eastAsia" w:ascii="仿宋" w:hAnsi="仿宋" w:eastAsia="仿宋" w:cs="仿宋"/>
          <w:color w:val="auto"/>
          <w:sz w:val="32"/>
          <w:szCs w:val="32"/>
          <w:highlight w:val="none"/>
          <w:lang w:val="zh-TW" w:eastAsia="zh-TW"/>
        </w:rPr>
        <w:t>中心202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zh-TW" w:eastAsia="zh-TW"/>
        </w:rPr>
        <w:t>年度部门整体支出实</w:t>
      </w:r>
      <w:r>
        <w:rPr>
          <w:rFonts w:hint="eastAsia" w:eastAsia="仿宋" w:cs="仿宋"/>
          <w:color w:val="auto"/>
          <w:sz w:val="32"/>
          <w:szCs w:val="32"/>
          <w:highlight w:val="none"/>
          <w:lang w:val="zh-TW" w:eastAsia="zh-TW"/>
        </w:rPr>
        <w:t>施绩效评价。经综合评价，评价得分为</w:t>
      </w:r>
      <w:r>
        <w:rPr>
          <w:rFonts w:hint="eastAsia" w:ascii="仿宋" w:hAnsi="仿宋" w:eastAsia="仿宋" w:cs="仿宋"/>
          <w:color w:val="auto"/>
          <w:sz w:val="32"/>
          <w:szCs w:val="32"/>
          <w:highlight w:val="none"/>
          <w:lang w:val="en-US" w:eastAsia="zh-CN"/>
        </w:rPr>
        <w:t>86.5</w:t>
      </w:r>
      <w:r>
        <w:rPr>
          <w:rFonts w:hint="eastAsia" w:ascii="仿宋" w:hAnsi="仿宋" w:eastAsia="仿宋" w:cs="仿宋"/>
          <w:color w:val="auto"/>
          <w:sz w:val="32"/>
          <w:szCs w:val="32"/>
          <w:highlight w:val="none"/>
          <w:lang w:val="zh-TW" w:eastAsia="zh-TW"/>
        </w:rPr>
        <w:t>分，绩效等级为“</w:t>
      </w:r>
      <w:r>
        <w:rPr>
          <w:rFonts w:hint="eastAsia" w:ascii="仿宋" w:hAnsi="仿宋" w:eastAsia="仿宋" w:cs="仿宋"/>
          <w:color w:val="auto"/>
          <w:sz w:val="32"/>
          <w:szCs w:val="32"/>
          <w:highlight w:val="none"/>
          <w:lang w:val="en-US" w:eastAsia="zh-CN"/>
        </w:rPr>
        <w:t>良</w:t>
      </w:r>
      <w:r>
        <w:rPr>
          <w:rFonts w:hint="eastAsia" w:ascii="仿宋" w:hAnsi="仿宋" w:eastAsia="仿宋" w:cs="仿宋"/>
          <w:color w:val="auto"/>
          <w:sz w:val="32"/>
          <w:szCs w:val="32"/>
          <w:highlight w:val="none"/>
          <w:lang w:val="zh-TW" w:eastAsia="zh-TW"/>
        </w:rPr>
        <w:t>”。</w:t>
      </w:r>
    </w:p>
    <w:p>
      <w:pPr>
        <w:framePr w:wrap="auto" w:vAnchor="margin" w:hAnchor="text" w:yAlign="inline"/>
        <w:ind w:firstLine="585" w:firstLineChars="183"/>
        <w:rPr>
          <w:rFonts w:hint="default" w:eastAsia="仿宋" w:cs="仿宋"/>
          <w:color w:val="auto"/>
          <w:sz w:val="32"/>
          <w:szCs w:val="32"/>
          <w:highlight w:val="none"/>
          <w:lang w:val="en-US" w:eastAsia="zh-CN"/>
        </w:rPr>
      </w:pPr>
      <w:r>
        <w:rPr>
          <w:rFonts w:hint="eastAsia" w:eastAsia="仿宋" w:cs="仿宋"/>
          <w:color w:val="auto"/>
          <w:sz w:val="32"/>
          <w:szCs w:val="32"/>
          <w:highlight w:val="none"/>
          <w:lang w:val="zh-TW" w:eastAsia="zh-TW"/>
        </w:rPr>
        <w:t>评价结论显示：</w:t>
      </w:r>
      <w:r>
        <w:rPr>
          <w:rFonts w:hint="eastAsia" w:ascii="仿宋" w:hAnsi="仿宋" w:eastAsia="仿宋" w:cs="仿宋"/>
          <w:color w:val="auto"/>
          <w:sz w:val="32"/>
          <w:szCs w:val="32"/>
          <w:highlight w:val="none"/>
          <w:lang w:val="zh-TW" w:eastAsia="zh-TW"/>
        </w:rPr>
        <w:t>东莞市</w:t>
      </w:r>
      <w:r>
        <w:rPr>
          <w:rFonts w:hint="eastAsia" w:ascii="仿宋" w:hAnsi="仿宋" w:eastAsia="仿宋" w:cs="仿宋"/>
          <w:color w:val="auto"/>
          <w:sz w:val="32"/>
          <w:szCs w:val="32"/>
          <w:highlight w:val="none"/>
          <w:lang w:val="en-US" w:eastAsia="zh-CN"/>
        </w:rPr>
        <w:t>松山湖高新技术产业开发区政务服务</w:t>
      </w:r>
      <w:r>
        <w:rPr>
          <w:rFonts w:hint="eastAsia" w:ascii="仿宋" w:hAnsi="仿宋" w:eastAsia="仿宋" w:cs="仿宋"/>
          <w:color w:val="auto"/>
          <w:sz w:val="32"/>
          <w:szCs w:val="32"/>
          <w:highlight w:val="none"/>
          <w:lang w:val="zh-TW" w:eastAsia="zh-TW"/>
        </w:rPr>
        <w:t>中心</w:t>
      </w:r>
      <w:r>
        <w:rPr>
          <w:rFonts w:hint="eastAsia" w:eastAsia="仿宋" w:cs="仿宋"/>
          <w:color w:val="auto"/>
          <w:sz w:val="32"/>
          <w:szCs w:val="32"/>
          <w:highlight w:val="none"/>
          <w:lang w:val="en-US" w:eastAsia="zh-CN"/>
        </w:rPr>
        <w:t>完成部分预期绩效目标，履行职责效果较好，管理体系相对完善。部门整体支出实施过程中存在一些问题：在预算编制方面，存在部分项目绩效指标设置不够规范，部分项目预算编制的准确性有待提高的情况；在预算执行方面，存在财务合规性不足，项目管理规范性有待提高的问题；在内控制度方面，业务督导落实不到位，关键岗位轮岗制度不完善；在人力资源方面，存在人员流失率较高的问题。</w:t>
      </w:r>
    </w:p>
    <w:p>
      <w:pPr>
        <w:pStyle w:val="1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eastAsia="仿宋" w:cs="仿宋"/>
          <w:color w:val="auto"/>
          <w:sz w:val="32"/>
          <w:szCs w:val="32"/>
          <w:highlight w:val="none"/>
          <w:lang w:val="en-US" w:eastAsia="zh-CN"/>
        </w:rPr>
      </w:pPr>
      <w:r>
        <w:rPr>
          <w:rFonts w:hint="eastAsia" w:eastAsia="仿宋" w:cs="仿宋"/>
          <w:color w:val="auto"/>
          <w:sz w:val="32"/>
          <w:szCs w:val="32"/>
          <w:highlight w:val="none"/>
          <w:lang w:val="en-US" w:eastAsia="zh-CN"/>
        </w:rPr>
        <w:t>建议：在预算编制方面，重视部门整体目标，细化绩效指标，加强前期调研，提高预算编制的科学性、准确性；加强工作人员业务培训，严格遵守合同约定，加强项目监管，做好事中监管、事后验收工作；在内控制度方面，要制定</w:t>
      </w:r>
      <w:r>
        <w:rPr>
          <w:rFonts w:hint="eastAsia" w:ascii="仿宋" w:hAnsi="仿宋" w:eastAsia="仿宋" w:cs="仿宋"/>
          <w:color w:val="auto"/>
          <w:sz w:val="32"/>
          <w:szCs w:val="32"/>
          <w:highlight w:val="none"/>
          <w:lang w:val="en-US" w:eastAsia="zh-CN"/>
        </w:rPr>
        <w:t>关键岗位轮岗制度，</w:t>
      </w:r>
      <w:r>
        <w:rPr>
          <w:rFonts w:hint="eastAsia" w:ascii="仿宋" w:hAnsi="仿宋" w:eastAsia="仿宋" w:cs="仿宋"/>
          <w:color w:val="auto"/>
          <w:kern w:val="2"/>
          <w:sz w:val="32"/>
          <w:szCs w:val="32"/>
          <w:highlight w:val="none"/>
          <w:lang w:val="en-US" w:eastAsia="zh-CN" w:bidi="ar-SA"/>
        </w:rPr>
        <w:t>制定内部</w:t>
      </w:r>
      <w:r>
        <w:rPr>
          <w:rFonts w:hint="eastAsia" w:ascii="仿宋" w:hAnsi="仿宋" w:eastAsia="仿宋" w:cs="仿宋"/>
          <w:color w:val="auto"/>
          <w:sz w:val="32"/>
          <w:szCs w:val="32"/>
          <w:highlight w:val="none"/>
          <w:lang w:val="en-US" w:eastAsia="zh-CN"/>
        </w:rPr>
        <w:t>风险清单，完善部门内控制度；</w:t>
      </w:r>
      <w:r>
        <w:rPr>
          <w:rFonts w:hint="eastAsia" w:eastAsia="仿宋" w:cs="仿宋"/>
          <w:color w:val="auto"/>
          <w:sz w:val="32"/>
          <w:szCs w:val="32"/>
          <w:highlight w:val="none"/>
          <w:lang w:val="en-US" w:eastAsia="zh-CN"/>
        </w:rPr>
        <w:t>在人力资源方面，完善绩效激励机制，留住优秀人才。</w:t>
      </w:r>
    </w:p>
    <w:p>
      <w:pPr>
        <w:framePr w:wrap="auto" w:vAnchor="margin" w:hAnchor="text" w:yAlign="inline"/>
        <w:ind w:left="0" w:leftChars="0" w:firstLine="0" w:firstLineChars="0"/>
        <w:rPr>
          <w:rFonts w:hint="eastAsia" w:eastAsia="仿宋" w:cs="仿宋"/>
          <w:color w:val="auto"/>
          <w:sz w:val="32"/>
          <w:szCs w:val="32"/>
          <w:highlight w:val="none"/>
          <w:lang w:val="en-US" w:eastAsia="zh-CN"/>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ind w:firstLine="585" w:firstLineChars="183"/>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ind w:firstLine="585" w:firstLineChars="183"/>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ind w:firstLine="585" w:firstLineChars="183"/>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目 录</w:t>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TOC \o "1-3" \h \u </w:instrText>
      </w:r>
      <w:r>
        <w:rPr>
          <w:rFonts w:hint="eastAsia" w:ascii="楷体" w:hAnsi="楷体" w:eastAsia="楷体" w:cs="楷体"/>
          <w:sz w:val="24"/>
          <w:szCs w:val="24"/>
          <w:highlight w:val="none"/>
          <w:lang w:val="en-US" w:eastAsia="zh-CN"/>
        </w:rPr>
        <w:fldChar w:fldCharType="separate"/>
      </w:r>
      <w:r>
        <w:rPr>
          <w:rFonts w:hint="eastAsia" w:ascii="黑体" w:hAnsi="黑体" w:eastAsia="黑体" w:cs="黑体"/>
          <w:sz w:val="24"/>
          <w:szCs w:val="24"/>
          <w:highlight w:val="none"/>
          <w:lang w:val="en-US" w:eastAsia="zh-CN"/>
        </w:rPr>
        <w:fldChar w:fldCharType="begin"/>
      </w:r>
      <w:r>
        <w:rPr>
          <w:rFonts w:hint="eastAsia" w:ascii="黑体" w:hAnsi="黑体" w:eastAsia="黑体" w:cs="黑体"/>
          <w:sz w:val="24"/>
          <w:szCs w:val="24"/>
          <w:highlight w:val="none"/>
          <w:lang w:val="en-US" w:eastAsia="zh-CN"/>
        </w:rPr>
        <w:instrText xml:space="preserve"> HYPERLINK \l _Toc22637 </w:instrText>
      </w:r>
      <w:r>
        <w:rPr>
          <w:rFonts w:hint="eastAsia" w:ascii="黑体" w:hAnsi="黑体" w:eastAsia="黑体" w:cs="黑体"/>
          <w:sz w:val="24"/>
          <w:szCs w:val="24"/>
          <w:highlight w:val="none"/>
          <w:lang w:val="en-US" w:eastAsia="zh-CN"/>
        </w:rPr>
        <w:fldChar w:fldCharType="separate"/>
      </w:r>
      <w:r>
        <w:rPr>
          <w:rFonts w:hint="eastAsia" w:ascii="黑体" w:hAnsi="黑体" w:eastAsia="黑体" w:cs="黑体"/>
          <w:sz w:val="24"/>
          <w:szCs w:val="24"/>
          <w:highlight w:val="none"/>
          <w:lang w:val="en-US" w:eastAsia="zh-CN"/>
        </w:rPr>
        <w:t>一、 部门基本情况</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_Toc22637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w:t>
      </w:r>
      <w:r>
        <w:rPr>
          <w:rFonts w:hint="eastAsia" w:ascii="黑体" w:hAnsi="黑体" w:eastAsia="黑体" w:cs="黑体"/>
          <w:sz w:val="24"/>
          <w:szCs w:val="24"/>
          <w:highlight w:val="none"/>
        </w:rPr>
        <w:fldChar w:fldCharType="end"/>
      </w:r>
      <w:r>
        <w:rPr>
          <w:rFonts w:hint="eastAsia" w:ascii="黑体" w:hAnsi="黑体" w:eastAsia="黑体" w:cs="黑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_Toc24557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（一）部门概况</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_Toc24557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1</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_Toc2274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（二）绩效总目标设定</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_Toc2274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_Toc9431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1.绩效总目标</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_Toc9431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_Toc19689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2.重点工作任务</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_Toc19689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3</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_Toc24466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（三）资金使用情况</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_Toc24466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4</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fldChar w:fldCharType="begin"/>
      </w:r>
      <w:r>
        <w:rPr>
          <w:rFonts w:hint="eastAsia" w:ascii="黑体" w:hAnsi="黑体" w:eastAsia="黑体" w:cs="黑体"/>
          <w:sz w:val="24"/>
          <w:szCs w:val="24"/>
          <w:highlight w:val="none"/>
          <w:lang w:val="en-US" w:eastAsia="zh-CN"/>
        </w:rPr>
        <w:instrText xml:space="preserve"> HYPERLINK \l _Toc19174 </w:instrText>
      </w:r>
      <w:r>
        <w:rPr>
          <w:rFonts w:hint="eastAsia" w:ascii="黑体" w:hAnsi="黑体" w:eastAsia="黑体" w:cs="黑体"/>
          <w:sz w:val="24"/>
          <w:szCs w:val="24"/>
          <w:highlight w:val="none"/>
          <w:lang w:val="en-US" w:eastAsia="zh-CN"/>
        </w:rPr>
        <w:fldChar w:fldCharType="separate"/>
      </w:r>
      <w:r>
        <w:rPr>
          <w:rFonts w:hint="eastAsia" w:ascii="黑体" w:hAnsi="黑体" w:eastAsia="黑体" w:cs="黑体"/>
          <w:sz w:val="24"/>
          <w:szCs w:val="24"/>
          <w:highlight w:val="none"/>
          <w:lang w:val="en-US" w:eastAsia="zh-CN"/>
        </w:rPr>
        <w:t>二、 绩效评价结果</w:t>
      </w:r>
      <w:r>
        <w:rPr>
          <w:rFonts w:hint="eastAsia" w:ascii="黑体" w:hAnsi="黑体" w:eastAsia="黑体" w:cs="黑体"/>
          <w:sz w:val="24"/>
          <w:szCs w:val="24"/>
          <w:highlight w:val="none"/>
          <w:lang w:val="en-US" w:eastAsia="zh-CN"/>
        </w:rPr>
        <w:tab/>
      </w:r>
      <w:r>
        <w:rPr>
          <w:rFonts w:hint="eastAsia" w:ascii="黑体" w:hAnsi="黑体" w:eastAsia="黑体" w:cs="黑体"/>
          <w:sz w:val="24"/>
          <w:szCs w:val="24"/>
          <w:highlight w:val="none"/>
          <w:lang w:val="en-US" w:eastAsia="zh-CN"/>
        </w:rPr>
        <w:fldChar w:fldCharType="begin"/>
      </w:r>
      <w:r>
        <w:rPr>
          <w:rFonts w:hint="eastAsia" w:ascii="黑体" w:hAnsi="黑体" w:eastAsia="黑体" w:cs="黑体"/>
          <w:sz w:val="24"/>
          <w:szCs w:val="24"/>
          <w:highlight w:val="none"/>
          <w:lang w:val="en-US" w:eastAsia="zh-CN"/>
        </w:rPr>
        <w:instrText xml:space="preserve"> PAGEREF _Toc19174 \h </w:instrText>
      </w:r>
      <w:r>
        <w:rPr>
          <w:rFonts w:hint="eastAsia" w:ascii="黑体" w:hAnsi="黑体" w:eastAsia="黑体" w:cs="黑体"/>
          <w:sz w:val="24"/>
          <w:szCs w:val="24"/>
          <w:highlight w:val="none"/>
          <w:lang w:val="en-US" w:eastAsia="zh-CN"/>
        </w:rPr>
        <w:fldChar w:fldCharType="separate"/>
      </w: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lang w:val="en-US" w:eastAsia="zh-CN"/>
        </w:rPr>
        <w:fldChar w:fldCharType="end"/>
      </w:r>
      <w:r>
        <w:rPr>
          <w:rFonts w:hint="eastAsia" w:ascii="黑体" w:hAnsi="黑体" w:eastAsia="黑体" w:cs="黑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_Toc4908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（一）评价结论</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_Toc4908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6</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_Toc32516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（二）主要绩效目标完成情况</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_Toc32516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8</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_Toc815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1.履行职责业绩目标部分完成</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_Toc815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8</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_Toc7813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2.履行职责效果目标大部分实现</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_Toc7813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12</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fldChar w:fldCharType="begin"/>
      </w:r>
      <w:r>
        <w:rPr>
          <w:rFonts w:hint="eastAsia" w:ascii="黑体" w:hAnsi="黑体" w:eastAsia="黑体" w:cs="黑体"/>
          <w:sz w:val="24"/>
          <w:szCs w:val="24"/>
          <w:highlight w:val="none"/>
          <w:lang w:val="en-US" w:eastAsia="zh-CN"/>
        </w:rPr>
        <w:instrText xml:space="preserve"> HYPERLINK \l _Toc6191 </w:instrText>
      </w:r>
      <w:r>
        <w:rPr>
          <w:rFonts w:hint="eastAsia" w:ascii="黑体" w:hAnsi="黑体" w:eastAsia="黑体" w:cs="黑体"/>
          <w:sz w:val="24"/>
          <w:szCs w:val="24"/>
          <w:highlight w:val="none"/>
          <w:lang w:val="en-US" w:eastAsia="zh-CN"/>
        </w:rPr>
        <w:fldChar w:fldCharType="separate"/>
      </w:r>
      <w:r>
        <w:rPr>
          <w:rFonts w:hint="eastAsia" w:ascii="黑体" w:hAnsi="黑体" w:eastAsia="黑体" w:cs="黑体"/>
          <w:sz w:val="24"/>
          <w:szCs w:val="24"/>
          <w:highlight w:val="none"/>
          <w:lang w:val="en-US" w:eastAsia="zh-CN"/>
        </w:rPr>
        <w:t>三、绩效管理问题与建议</w:t>
      </w:r>
      <w:r>
        <w:rPr>
          <w:rFonts w:hint="eastAsia" w:ascii="黑体" w:hAnsi="黑体" w:eastAsia="黑体" w:cs="黑体"/>
          <w:sz w:val="24"/>
          <w:szCs w:val="24"/>
          <w:highlight w:val="none"/>
          <w:lang w:val="en-US" w:eastAsia="zh-CN"/>
        </w:rPr>
        <w:tab/>
      </w:r>
      <w:r>
        <w:rPr>
          <w:rFonts w:hint="eastAsia" w:ascii="黑体" w:hAnsi="黑体" w:eastAsia="黑体" w:cs="黑体"/>
          <w:sz w:val="24"/>
          <w:szCs w:val="24"/>
          <w:highlight w:val="none"/>
          <w:lang w:val="en-US" w:eastAsia="zh-CN"/>
        </w:rPr>
        <w:fldChar w:fldCharType="begin"/>
      </w:r>
      <w:r>
        <w:rPr>
          <w:rFonts w:hint="eastAsia" w:ascii="黑体" w:hAnsi="黑体" w:eastAsia="黑体" w:cs="黑体"/>
          <w:sz w:val="24"/>
          <w:szCs w:val="24"/>
          <w:highlight w:val="none"/>
          <w:lang w:val="en-US" w:eastAsia="zh-CN"/>
        </w:rPr>
        <w:instrText xml:space="preserve"> PAGEREF _Toc6191 \h </w:instrText>
      </w:r>
      <w:r>
        <w:rPr>
          <w:rFonts w:hint="eastAsia" w:ascii="黑体" w:hAnsi="黑体" w:eastAsia="黑体" w:cs="黑体"/>
          <w:sz w:val="24"/>
          <w:szCs w:val="24"/>
          <w:highlight w:val="none"/>
          <w:lang w:val="en-US" w:eastAsia="zh-CN"/>
        </w:rPr>
        <w:fldChar w:fldCharType="separate"/>
      </w:r>
      <w:r>
        <w:rPr>
          <w:rFonts w:hint="eastAsia" w:ascii="黑体" w:hAnsi="黑体" w:eastAsia="黑体" w:cs="黑体"/>
          <w:sz w:val="24"/>
          <w:szCs w:val="24"/>
          <w:highlight w:val="none"/>
          <w:lang w:val="en-US" w:eastAsia="zh-CN"/>
        </w:rPr>
        <w:t>17</w:t>
      </w:r>
      <w:r>
        <w:rPr>
          <w:rFonts w:hint="eastAsia" w:ascii="黑体" w:hAnsi="黑体" w:eastAsia="黑体" w:cs="黑体"/>
          <w:sz w:val="24"/>
          <w:szCs w:val="24"/>
          <w:highlight w:val="none"/>
          <w:lang w:val="en-US" w:eastAsia="zh-CN"/>
        </w:rPr>
        <w:fldChar w:fldCharType="end"/>
      </w:r>
      <w:r>
        <w:rPr>
          <w:rFonts w:hint="eastAsia" w:ascii="黑体" w:hAnsi="黑体" w:eastAsia="黑体" w:cs="黑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_Toc16034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（一）绩效管理问题</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_Toc16034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17</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_Toc28074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1.在预算编制方面，指标设置不规范和预算编制准确性有待提高</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_Toc28074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17</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_Toc9053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2.在预算执行方面，财务合规性不足和项目监管不到位</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_Toc9053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18</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_Toc31762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3.在内控制度方面，内控制度健全性和执行有效性不足</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_Toc31762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21</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_Toc32245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4.在人力资源方面，存在人员流失率较高的问题</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_Toc32245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22</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676" w:firstLineChars="282"/>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_Toc10233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（二）绩效管理建议</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_Toc10233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23</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_Toc24534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1.预算编制方面，细化绩效指标，提高预算编制准确性</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_Toc24534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23</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_Toc1967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2.预算执行方面，规范财务管理工作，加强日常监管</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_Toc1967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24</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_Toc3651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3.内控制度方面，完善相关制度，有效执行内控制度</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_Toc3651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25</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ind w:firstLine="1152" w:firstLineChars="48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fldChar w:fldCharType="begin"/>
      </w:r>
      <w:r>
        <w:rPr>
          <w:rFonts w:hint="eastAsia" w:ascii="楷体" w:hAnsi="楷体" w:eastAsia="楷体" w:cs="楷体"/>
          <w:sz w:val="24"/>
          <w:szCs w:val="24"/>
          <w:highlight w:val="none"/>
          <w:lang w:val="en-US" w:eastAsia="zh-CN"/>
        </w:rPr>
        <w:instrText xml:space="preserve"> HYPERLINK \l _Toc31452 </w:instrText>
      </w:r>
      <w:r>
        <w:rPr>
          <w:rFonts w:hint="eastAsia" w:ascii="楷体" w:hAnsi="楷体" w:eastAsia="楷体" w:cs="楷体"/>
          <w:sz w:val="24"/>
          <w:szCs w:val="24"/>
          <w:highlight w:val="none"/>
          <w:lang w:val="en-US" w:eastAsia="zh-CN"/>
        </w:rPr>
        <w:fldChar w:fldCharType="separate"/>
      </w:r>
      <w:r>
        <w:rPr>
          <w:rFonts w:hint="eastAsia" w:ascii="楷体" w:hAnsi="楷体" w:eastAsia="楷体" w:cs="楷体"/>
          <w:sz w:val="24"/>
          <w:szCs w:val="24"/>
          <w:highlight w:val="none"/>
          <w:lang w:val="en-US" w:eastAsia="zh-CN"/>
        </w:rPr>
        <w:t>4.人力资源方面，完善绩效激励机制，留住优秀人才</w:t>
      </w:r>
      <w:r>
        <w:rPr>
          <w:rFonts w:hint="eastAsia" w:ascii="楷体" w:hAnsi="楷体" w:eastAsia="楷体" w:cs="楷体"/>
          <w:sz w:val="24"/>
          <w:szCs w:val="24"/>
          <w:highlight w:val="none"/>
        </w:rPr>
        <w:tab/>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PAGEREF _Toc31452 \h </w:instrText>
      </w:r>
      <w:r>
        <w:rPr>
          <w:rFonts w:hint="eastAsia" w:ascii="楷体" w:hAnsi="楷体" w:eastAsia="楷体" w:cs="楷体"/>
          <w:sz w:val="24"/>
          <w:szCs w:val="24"/>
          <w:highlight w:val="none"/>
        </w:rPr>
        <w:fldChar w:fldCharType="separate"/>
      </w:r>
      <w:r>
        <w:rPr>
          <w:rFonts w:hint="eastAsia" w:ascii="楷体" w:hAnsi="楷体" w:eastAsia="楷体" w:cs="楷体"/>
          <w:sz w:val="24"/>
          <w:szCs w:val="24"/>
          <w:highlight w:val="none"/>
        </w:rPr>
        <w:t>26</w: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lang w:val="en-US" w:eastAsia="zh-CN"/>
        </w:rPr>
        <w:fldChar w:fldCharType="end"/>
      </w:r>
    </w:p>
    <w:p>
      <w:pPr>
        <w:pStyle w:val="10"/>
        <w:keepNext w:val="0"/>
        <w:keepLines w:val="0"/>
        <w:pageBreakBefore w:val="0"/>
        <w:framePr w:wrap="auto" w:vAnchor="margin" w:hAnchor="text" w:yAlign="inline"/>
        <w:widowControl w:val="0"/>
        <w:tabs>
          <w:tab w:val="right" w:leader="dot" w:pos="8300"/>
        </w:tabs>
        <w:kinsoku/>
        <w:wordWrap/>
        <w:overflowPunct/>
        <w:topLinePunct w:val="0"/>
        <w:autoSpaceDE/>
        <w:autoSpaceDN/>
        <w:bidi w:val="0"/>
        <w:adjustRightInd/>
        <w:snapToGrid/>
        <w:textAlignment w:val="auto"/>
        <w:rPr>
          <w:rFonts w:hint="eastAsia"/>
          <w:highlight w:val="none"/>
          <w:lang w:val="en-US" w:eastAsia="zh-CN"/>
        </w:rPr>
      </w:pPr>
      <w:r>
        <w:rPr>
          <w:rFonts w:hint="eastAsia" w:ascii="楷体" w:hAnsi="楷体" w:eastAsia="楷体" w:cs="楷体"/>
          <w:sz w:val="24"/>
          <w:szCs w:val="24"/>
          <w:highlight w:val="none"/>
          <w:lang w:val="en-US" w:eastAsia="zh-CN"/>
        </w:rPr>
        <w:fldChar w:fldCharType="end"/>
      </w:r>
    </w:p>
    <w:p>
      <w:pPr>
        <w:framePr w:wrap="auto" w:vAnchor="margin" w:hAnchor="text" w:yAlign="inline"/>
        <w:ind w:firstLine="585" w:firstLineChars="183"/>
        <w:rPr>
          <w:rFonts w:hint="default" w:eastAsia="仿宋" w:cs="仿宋"/>
          <w:color w:val="auto"/>
          <w:sz w:val="32"/>
          <w:szCs w:val="32"/>
          <w:highlight w:val="none"/>
          <w:lang w:val="en-US" w:eastAsia="zh-CN"/>
        </w:rPr>
      </w:pPr>
    </w:p>
    <w:p>
      <w:pPr>
        <w:framePr w:wrap="auto" w:vAnchor="margin" w:hAnchor="text" w:yAlign="inline"/>
        <w:ind w:firstLine="585" w:firstLineChars="183"/>
        <w:rPr>
          <w:rFonts w:hint="default" w:eastAsia="仿宋" w:cs="仿宋"/>
          <w:color w:val="auto"/>
          <w:sz w:val="32"/>
          <w:szCs w:val="32"/>
          <w:highlight w:val="none"/>
          <w:lang w:val="en-US" w:eastAsia="zh-CN"/>
        </w:rPr>
      </w:pPr>
    </w:p>
    <w:p>
      <w:pPr>
        <w:framePr w:wrap="auto" w:vAnchor="margin" w:hAnchor="text" w:yAlign="inline"/>
        <w:ind w:firstLine="585" w:firstLineChars="183"/>
        <w:rPr>
          <w:rFonts w:hint="default" w:eastAsia="仿宋" w:cs="仿宋"/>
          <w:color w:val="auto"/>
          <w:sz w:val="32"/>
          <w:szCs w:val="32"/>
          <w:highlight w:val="none"/>
          <w:lang w:val="en-US" w:eastAsia="zh-CN"/>
        </w:rPr>
      </w:pPr>
    </w:p>
    <w:p>
      <w:pPr>
        <w:framePr w:wrap="auto" w:vAnchor="margin" w:hAnchor="text" w:yAlign="inline"/>
        <w:ind w:left="0" w:leftChars="0" w:firstLine="0" w:firstLineChars="0"/>
        <w:rPr>
          <w:rFonts w:hint="default" w:eastAsia="仿宋" w:cs="仿宋"/>
          <w:color w:val="auto"/>
          <w:sz w:val="32"/>
          <w:szCs w:val="32"/>
          <w:highlight w:val="none"/>
          <w:lang w:val="en-US" w:eastAsia="zh-CN"/>
        </w:rPr>
      </w:pPr>
    </w:p>
    <w:p>
      <w:pPr>
        <w:framePr w:wrap="auto" w:vAnchor="margin" w:hAnchor="text" w:yAlign="inline"/>
        <w:ind w:left="0" w:leftChars="0" w:firstLine="640" w:firstLineChars="200"/>
        <w:rPr>
          <w:rFonts w:hint="eastAsia" w:ascii="仿宋" w:hAnsi="仿宋" w:eastAsia="仿宋" w:cs="仿宋"/>
          <w:color w:val="auto"/>
          <w:sz w:val="32"/>
          <w:szCs w:val="32"/>
          <w:highlight w:val="none"/>
          <w:lang w:val="zh-TW" w:eastAsia="zh-TW"/>
        </w:rPr>
        <w:sectPr>
          <w:pgSz w:w="11906" w:h="16838"/>
          <w:pgMar w:top="1440" w:right="1800" w:bottom="1440" w:left="1800" w:header="851" w:footer="992" w:gutter="0"/>
          <w:cols w:space="425" w:num="1"/>
          <w:docGrid w:type="lines" w:linePitch="312" w:charSpace="0"/>
        </w:sectPr>
      </w:pPr>
    </w:p>
    <w:p>
      <w:pPr>
        <w:framePr w:wrap="auto" w:vAnchor="margin" w:hAnchor="text" w:yAlign="inline"/>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TW"/>
        </w:rPr>
        <w:t>根据《中共中央国务院关于全面实施预算绩效管理的意见》（中发〔2018〕34号）、《关于印发&lt;项目支出绩效评价管理办法&gt;》的通知》（财预〔2020〕10 号）、《印发关于全面推进预算绩效管理工作意见的通知》（东府办〔2014〕49号）的有关要求，</w:t>
      </w:r>
      <w:r>
        <w:rPr>
          <w:rFonts w:hint="eastAsia" w:ascii="仿宋" w:hAnsi="仿宋" w:eastAsia="仿宋" w:cs="仿宋"/>
          <w:sz w:val="32"/>
          <w:szCs w:val="32"/>
          <w:highlight w:val="none"/>
        </w:rPr>
        <w:t>东莞</w:t>
      </w:r>
      <w:r>
        <w:rPr>
          <w:rFonts w:hint="eastAsia" w:ascii="仿宋" w:hAnsi="仿宋" w:eastAsia="仿宋" w:cs="仿宋"/>
          <w:sz w:val="32"/>
          <w:szCs w:val="32"/>
          <w:highlight w:val="none"/>
          <w:lang w:val="zh-TW"/>
        </w:rPr>
        <w:t>市</w:t>
      </w:r>
      <w:r>
        <w:rPr>
          <w:rFonts w:hint="eastAsia" w:ascii="仿宋" w:hAnsi="仿宋" w:eastAsia="仿宋" w:cs="仿宋"/>
          <w:color w:val="auto"/>
          <w:sz w:val="32"/>
          <w:szCs w:val="32"/>
          <w:highlight w:val="none"/>
          <w:lang w:val="en-US" w:eastAsia="zh-CN"/>
        </w:rPr>
        <w:t>松山湖高新技术产业开发区政务服务</w:t>
      </w:r>
      <w:r>
        <w:rPr>
          <w:rFonts w:hint="eastAsia" w:ascii="仿宋" w:hAnsi="仿宋" w:eastAsia="仿宋" w:cs="仿宋"/>
          <w:color w:val="auto"/>
          <w:sz w:val="32"/>
          <w:szCs w:val="32"/>
          <w:highlight w:val="none"/>
          <w:lang w:val="zh-TW" w:eastAsia="zh-TW"/>
        </w:rPr>
        <w:t>中心</w:t>
      </w:r>
      <w:r>
        <w:rPr>
          <w:rFonts w:hint="eastAsia" w:ascii="仿宋" w:hAnsi="仿宋" w:eastAsia="仿宋" w:cs="仿宋"/>
          <w:sz w:val="32"/>
          <w:szCs w:val="32"/>
          <w:highlight w:val="none"/>
          <w:lang w:val="zh-TW"/>
        </w:rPr>
        <w:t>（</w:t>
      </w:r>
      <w:r>
        <w:rPr>
          <w:rFonts w:hint="eastAsia" w:ascii="仿宋" w:hAnsi="仿宋" w:eastAsia="仿宋" w:cs="仿宋"/>
          <w:sz w:val="32"/>
          <w:szCs w:val="32"/>
          <w:highlight w:val="none"/>
        </w:rPr>
        <w:t>以下简称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松山湖政务服务</w:t>
      </w:r>
      <w:r>
        <w:rPr>
          <w:rFonts w:hint="eastAsia" w:ascii="仿宋" w:hAnsi="仿宋" w:eastAsia="仿宋" w:cs="仿宋"/>
          <w:sz w:val="32"/>
          <w:szCs w:val="32"/>
          <w:highlight w:val="none"/>
        </w:rPr>
        <w:t>中心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zh-TW"/>
        </w:rPr>
        <w:t>）</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val="zh-TW" w:eastAsia="zh-TW"/>
        </w:rPr>
        <w:t>部门整体支出被纳入东莞市</w:t>
      </w:r>
      <w:r>
        <w:rPr>
          <w:rFonts w:hint="eastAsia" w:ascii="仿宋" w:hAnsi="仿宋" w:eastAsia="仿宋" w:cs="仿宋"/>
          <w:color w:val="auto"/>
          <w:sz w:val="32"/>
          <w:szCs w:val="32"/>
          <w:highlight w:val="none"/>
          <w:lang w:val="en-US" w:eastAsia="zh-CN"/>
        </w:rPr>
        <w:t>松山湖高新技术产业开发区</w:t>
      </w:r>
      <w:r>
        <w:rPr>
          <w:rFonts w:hint="eastAsia" w:ascii="仿宋" w:hAnsi="仿宋" w:eastAsia="仿宋" w:cs="仿宋"/>
          <w:sz w:val="32"/>
          <w:szCs w:val="32"/>
          <w:highlight w:val="none"/>
          <w:lang w:val="zh-TW" w:eastAsia="zh-TW"/>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TW" w:eastAsia="zh-TW"/>
        </w:rPr>
        <w:t>年度财政支出重点绩效评价范围</w:t>
      </w:r>
      <w:r>
        <w:rPr>
          <w:rFonts w:hint="eastAsia" w:ascii="仿宋" w:hAnsi="仿宋" w:eastAsia="仿宋" w:cs="仿宋"/>
          <w:sz w:val="32"/>
          <w:szCs w:val="32"/>
          <w:highlight w:val="none"/>
          <w:lang w:val="zh-TW"/>
        </w:rPr>
        <w:t>。</w:t>
      </w:r>
      <w:r>
        <w:rPr>
          <w:rFonts w:hint="eastAsia" w:ascii="仿宋" w:hAnsi="仿宋" w:eastAsia="仿宋" w:cs="仿宋"/>
          <w:sz w:val="32"/>
          <w:szCs w:val="32"/>
          <w:highlight w:val="none"/>
          <w:lang w:val="en-US" w:eastAsia="zh-CN"/>
        </w:rPr>
        <w:t>通过政府采购，</w:t>
      </w:r>
      <w:r>
        <w:rPr>
          <w:rFonts w:hint="eastAsia" w:ascii="仿宋" w:hAnsi="仿宋" w:eastAsia="仿宋" w:cs="仿宋"/>
          <w:sz w:val="32"/>
          <w:szCs w:val="32"/>
          <w:highlight w:val="none"/>
          <w:lang w:val="zh-TW" w:eastAsia="zh-TW"/>
        </w:rPr>
        <w:t>东莞市财政局</w:t>
      </w:r>
      <w:r>
        <w:rPr>
          <w:rFonts w:hint="eastAsia" w:ascii="仿宋" w:hAnsi="仿宋" w:eastAsia="仿宋" w:cs="仿宋"/>
          <w:sz w:val="32"/>
          <w:szCs w:val="32"/>
          <w:highlight w:val="none"/>
          <w:lang w:val="en-US" w:eastAsia="zh-CN"/>
        </w:rPr>
        <w:t>松山湖</w:t>
      </w:r>
      <w:r>
        <w:rPr>
          <w:rFonts w:hint="eastAsia" w:ascii="仿宋" w:hAnsi="仿宋" w:eastAsia="仿宋" w:cs="仿宋"/>
          <w:sz w:val="32"/>
          <w:szCs w:val="32"/>
          <w:highlight w:val="none"/>
        </w:rPr>
        <w:t>分局</w:t>
      </w:r>
      <w:r>
        <w:rPr>
          <w:rFonts w:hint="eastAsia" w:ascii="仿宋" w:hAnsi="仿宋" w:eastAsia="仿宋" w:cs="仿宋"/>
          <w:sz w:val="32"/>
          <w:szCs w:val="32"/>
          <w:highlight w:val="none"/>
          <w:lang w:val="zh-TW" w:eastAsia="zh-TW"/>
        </w:rPr>
        <w:t>委托</w:t>
      </w:r>
      <w:r>
        <w:rPr>
          <w:rFonts w:hint="eastAsia" w:ascii="仿宋" w:hAnsi="仿宋" w:eastAsia="仿宋" w:cs="仿宋"/>
          <w:sz w:val="32"/>
          <w:szCs w:val="32"/>
          <w:highlight w:val="none"/>
          <w:lang w:val="en-US" w:eastAsia="zh-CN"/>
        </w:rPr>
        <w:t>广东外语外贸大学</w:t>
      </w:r>
      <w:r>
        <w:rPr>
          <w:rFonts w:hint="eastAsia" w:ascii="仿宋" w:hAnsi="仿宋" w:eastAsia="仿宋" w:cs="仿宋"/>
          <w:sz w:val="32"/>
          <w:szCs w:val="32"/>
          <w:highlight w:val="none"/>
          <w:lang w:val="zh-TW" w:eastAsia="zh-TW"/>
        </w:rPr>
        <w:t>作为第三方机构对该项目进</w:t>
      </w:r>
      <w:r>
        <w:rPr>
          <w:rFonts w:hint="eastAsia" w:ascii="仿宋" w:hAnsi="仿宋" w:eastAsia="仿宋" w:cs="仿宋"/>
          <w:color w:val="auto"/>
          <w:sz w:val="32"/>
          <w:szCs w:val="32"/>
          <w:highlight w:val="none"/>
          <w:lang w:val="zh-TW" w:eastAsia="zh-TW"/>
        </w:rPr>
        <w:t>行绩效评价。</w:t>
      </w:r>
    </w:p>
    <w:p>
      <w:pPr>
        <w:pStyle w:val="4"/>
        <w:framePr w:wrap="auto" w:vAnchor="margin" w:hAnchor="text" w:yAlign="inline"/>
        <w:numPr>
          <w:ilvl w:val="0"/>
          <w:numId w:val="1"/>
        </w:numPr>
        <w:spacing w:before="0" w:after="0" w:line="600" w:lineRule="exact"/>
        <w:rPr>
          <w:rFonts w:hint="default" w:eastAsia="黑体"/>
          <w:color w:val="auto"/>
          <w:sz w:val="32"/>
          <w:szCs w:val="32"/>
          <w:highlight w:val="none"/>
          <w:lang w:val="en-US" w:eastAsia="zh-CN"/>
        </w:rPr>
      </w:pPr>
      <w:bookmarkStart w:id="0" w:name="_Toc22637"/>
      <w:r>
        <w:rPr>
          <w:rFonts w:hint="eastAsia" w:eastAsia="黑体"/>
          <w:color w:val="auto"/>
          <w:sz w:val="32"/>
          <w:szCs w:val="32"/>
          <w:highlight w:val="none"/>
          <w:lang w:val="en-US" w:eastAsia="zh-CN"/>
        </w:rPr>
        <w:t>部门基本情况</w:t>
      </w:r>
      <w:bookmarkEnd w:id="0"/>
    </w:p>
    <w:p>
      <w:pPr>
        <w:pStyle w:val="5"/>
        <w:framePr w:wrap="auto" w:vAnchor="margin" w:hAnchor="text" w:yAlign="inline"/>
        <w:numPr>
          <w:ilvl w:val="0"/>
          <w:numId w:val="2"/>
        </w:numPr>
        <w:spacing w:before="0" w:after="0" w:line="600" w:lineRule="exact"/>
        <w:ind w:firstLine="198"/>
        <w:rPr>
          <w:rFonts w:hint="eastAsia" w:ascii="Times New Roman" w:hAnsi="Times New Roman" w:eastAsia="楷体" w:cs="Times New Roman"/>
          <w:color w:val="auto"/>
          <w:highlight w:val="none"/>
          <w:lang w:val="en-US" w:eastAsia="zh-CN"/>
        </w:rPr>
      </w:pPr>
      <w:bookmarkStart w:id="1" w:name="_Toc24557"/>
      <w:r>
        <w:rPr>
          <w:rFonts w:hint="eastAsia" w:ascii="Times New Roman" w:hAnsi="Times New Roman" w:eastAsia="楷体" w:cs="Times New Roman"/>
          <w:color w:val="auto"/>
          <w:highlight w:val="none"/>
          <w:lang w:val="en-US" w:eastAsia="zh-CN"/>
        </w:rPr>
        <w:t>部门概况</w:t>
      </w:r>
      <w:bookmarkEnd w:id="1"/>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松山湖政务服务</w:t>
      </w:r>
      <w:r>
        <w:rPr>
          <w:rFonts w:hint="eastAsia" w:ascii="仿宋" w:hAnsi="仿宋" w:eastAsia="仿宋" w:cs="仿宋"/>
          <w:sz w:val="32"/>
          <w:szCs w:val="32"/>
          <w:highlight w:val="none"/>
        </w:rPr>
        <w:t>中心</w:t>
      </w:r>
      <w:r>
        <w:rPr>
          <w:rFonts w:hint="eastAsia" w:ascii="仿宋" w:hAnsi="仿宋" w:eastAsia="仿宋" w:cs="仿宋"/>
          <w:sz w:val="32"/>
          <w:szCs w:val="32"/>
          <w:highlight w:val="none"/>
          <w:lang w:val="en-US" w:eastAsia="zh-CN"/>
        </w:rPr>
        <w:t>是东莞市松山湖高新技术产业开发区管理委员会下设部门，</w:t>
      </w:r>
      <w:r>
        <w:rPr>
          <w:rFonts w:hint="eastAsia" w:ascii="仿宋" w:hAnsi="仿宋" w:eastAsia="仿宋" w:cs="仿宋"/>
          <w:color w:val="auto"/>
          <w:sz w:val="32"/>
          <w:szCs w:val="32"/>
          <w:highlight w:val="none"/>
          <w:lang w:val="en-US" w:eastAsia="zh-CN"/>
        </w:rPr>
        <w:t>属于公益一类事业单位，是财政全额拨款的独立核算单位。主要职责是：负责统筹功能区政务服务有关事项，理顺功能区各级政务服务机构职能；统筹功能区开展政务服务工作，健全功能区审批工作机制；指导功能区各镇政务服务中心建设和统筹开展人员培训；协助园区政务公开、信息公开工作；承担园区政务服务办事大厅（综合服务中心）及网上办事大厅下设办事站的具体综合管理工作；负责进驻园区办事大厅窗口及人员的日常管理；指导社区公共服务平台建设及开展相关工作。</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松山湖政务服务中心围绕政务服务便民化、智能化、人性化，不断创新改革，打造一流营商环境，是集行政审批、政策申报、企业服务、投资洽谈、科技展示等多功能于一体的综合性服务中心。2022年，松山湖政务服务中心内设四个组，分别为综合服务组、业务统筹组、政务建设组和基础设施组。共有编制数4名（事业编制数4名），其中财政供养的编内实有在职人员4人，另外有聘用人员7人。松山湖政务服务中心无下属单位。</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TW"/>
        </w:rPr>
        <w:t>本次绩效评价范围为：</w:t>
      </w:r>
      <w:r>
        <w:rPr>
          <w:rFonts w:hint="eastAsia" w:ascii="仿宋" w:hAnsi="仿宋" w:eastAsia="仿宋" w:cs="仿宋"/>
          <w:color w:val="auto"/>
          <w:sz w:val="32"/>
          <w:szCs w:val="32"/>
          <w:highlight w:val="none"/>
          <w:lang w:val="en-US" w:eastAsia="zh-CN"/>
        </w:rPr>
        <w:t>2022年度松山湖政务服务中心所有收入支出情况及绩效情况，包括基本支出和项目支出。本次部门绩效</w:t>
      </w:r>
      <w:r>
        <w:rPr>
          <w:rFonts w:hint="eastAsia" w:ascii="仿宋" w:hAnsi="仿宋" w:eastAsia="仿宋" w:cs="仿宋"/>
          <w:color w:val="auto"/>
          <w:sz w:val="32"/>
          <w:szCs w:val="32"/>
          <w:highlight w:val="none"/>
          <w:lang w:val="zh-TW" w:eastAsia="zh-TW"/>
        </w:rPr>
        <w:t>评价节点为</w:t>
      </w:r>
      <w:r>
        <w:rPr>
          <w:rFonts w:hint="eastAsia" w:ascii="仿宋" w:hAnsi="仿宋" w:eastAsia="仿宋" w:cs="仿宋"/>
          <w:color w:val="auto"/>
          <w:sz w:val="32"/>
          <w:szCs w:val="32"/>
          <w:highlight w:val="none"/>
          <w:lang w:val="en-US" w:eastAsia="zh-CN"/>
        </w:rPr>
        <w:t>2022</w:t>
      </w:r>
      <w:r>
        <w:rPr>
          <w:rFonts w:hint="eastAsia" w:ascii="仿宋" w:hAnsi="仿宋" w:eastAsia="仿宋" w:cs="仿宋"/>
          <w:color w:val="auto"/>
          <w:sz w:val="32"/>
          <w:szCs w:val="32"/>
          <w:highlight w:val="none"/>
          <w:lang w:val="zh-TW" w:eastAsia="zh-TW"/>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zh-TW" w:eastAsia="zh-TW"/>
        </w:rPr>
        <w:t>月</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zh-TW" w:eastAsia="zh-TW"/>
        </w:rPr>
        <w:t>日至</w:t>
      </w:r>
      <w:r>
        <w:rPr>
          <w:rFonts w:hint="eastAsia" w:ascii="仿宋" w:hAnsi="仿宋" w:eastAsia="仿宋" w:cs="仿宋"/>
          <w:color w:val="auto"/>
          <w:sz w:val="32"/>
          <w:szCs w:val="32"/>
          <w:highlight w:val="none"/>
          <w:lang w:val="en-US" w:eastAsia="zh-CN"/>
        </w:rPr>
        <w:t>2022</w:t>
      </w:r>
      <w:r>
        <w:rPr>
          <w:rFonts w:hint="eastAsia" w:ascii="仿宋" w:hAnsi="仿宋" w:eastAsia="仿宋" w:cs="仿宋"/>
          <w:color w:val="auto"/>
          <w:sz w:val="32"/>
          <w:szCs w:val="32"/>
          <w:highlight w:val="none"/>
          <w:lang w:val="zh-TW" w:eastAsia="zh-TW"/>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lang w:val="zh-TW" w:eastAsia="zh-TW"/>
        </w:rPr>
        <w:t>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lang w:val="zh-TW" w:eastAsia="zh-TW"/>
        </w:rPr>
        <w:t>日。</w:t>
      </w:r>
    </w:p>
    <w:p>
      <w:pPr>
        <w:pStyle w:val="5"/>
        <w:framePr w:wrap="auto" w:vAnchor="margin" w:hAnchor="text" w:yAlign="inline"/>
        <w:numPr>
          <w:ilvl w:val="0"/>
          <w:numId w:val="2"/>
        </w:numPr>
        <w:spacing w:before="0" w:after="0" w:line="600" w:lineRule="exact"/>
        <w:ind w:firstLine="198"/>
        <w:rPr>
          <w:rFonts w:hint="default" w:ascii="Times New Roman" w:hAnsi="Times New Roman" w:eastAsia="楷体" w:cs="Times New Roman"/>
          <w:color w:val="auto"/>
          <w:highlight w:val="none"/>
          <w:lang w:val="en-US" w:eastAsia="zh-CN"/>
        </w:rPr>
      </w:pPr>
      <w:bookmarkStart w:id="2" w:name="_Toc2274"/>
      <w:r>
        <w:rPr>
          <w:rFonts w:hint="eastAsia" w:ascii="Times New Roman" w:hAnsi="Times New Roman" w:eastAsia="楷体" w:cs="Times New Roman"/>
          <w:color w:val="auto"/>
          <w:highlight w:val="none"/>
          <w:lang w:val="en-US" w:eastAsia="zh-CN"/>
        </w:rPr>
        <w:t>绩效总目标设定</w:t>
      </w:r>
      <w:bookmarkEnd w:id="2"/>
    </w:p>
    <w:p>
      <w:pPr>
        <w:pStyle w:val="6"/>
        <w:framePr w:wrap="auto" w:vAnchor="margin" w:hAnchor="text" w:yAlign="inline"/>
        <w:numPr>
          <w:ilvl w:val="0"/>
          <w:numId w:val="0"/>
        </w:numPr>
        <w:spacing w:before="0" w:after="0" w:line="600" w:lineRule="exact"/>
        <w:rPr>
          <w:rFonts w:hint="default" w:ascii="楷体" w:hAnsi="楷体" w:eastAsia="楷体" w:cs="楷体"/>
          <w:color w:val="auto"/>
          <w:highlight w:val="none"/>
          <w:lang w:val="en-US" w:eastAsia="zh-CN"/>
        </w:rPr>
      </w:pPr>
      <w:bookmarkStart w:id="3" w:name="_Toc9431"/>
      <w:r>
        <w:rPr>
          <w:rFonts w:hint="eastAsia" w:ascii="楷体" w:hAnsi="楷体" w:eastAsia="楷体" w:cs="楷体"/>
          <w:color w:val="auto"/>
          <w:highlight w:val="none"/>
          <w:lang w:val="en-US" w:eastAsia="zh-CN"/>
        </w:rPr>
        <w:t>1.绩效总目标</w:t>
      </w:r>
      <w:bookmarkEnd w:id="3"/>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根据松山湖政务服务中心提供的绩效自评报告，可知松山湖政务服务中心2022年绩效总目标如下：</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目标1：“一网统管”项目完成应急专题建设，并与省级“粤治慧”基础平台直接对接；</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目标2：协助职能部门完成园区数字政府规划；</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目标3：综合应用平台进一步完善提升，网站及公众号运行流畅。贯彻落实全流程网办，实现随时办、随地办；</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目标4：全力推行标准化工作，打造跨区域、全链条标准；</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目标5：维持大厅日常运行，提升市民办事体验感、满意度。</w:t>
      </w:r>
    </w:p>
    <w:p>
      <w:pPr>
        <w:pStyle w:val="6"/>
        <w:framePr w:wrap="auto" w:vAnchor="margin" w:hAnchor="text" w:yAlign="inline"/>
        <w:numPr>
          <w:ilvl w:val="0"/>
          <w:numId w:val="0"/>
        </w:numPr>
        <w:spacing w:before="0" w:after="0" w:line="600" w:lineRule="exact"/>
        <w:rPr>
          <w:rFonts w:hint="default" w:eastAsia="仿宋_GB2312"/>
          <w:color w:val="auto"/>
          <w:sz w:val="32"/>
          <w:szCs w:val="32"/>
          <w:highlight w:val="none"/>
          <w:lang w:val="en-US" w:eastAsia="zh-CN"/>
        </w:rPr>
      </w:pPr>
      <w:bookmarkStart w:id="4" w:name="_Toc19689"/>
      <w:r>
        <w:rPr>
          <w:rFonts w:hint="eastAsia" w:ascii="楷体" w:hAnsi="楷体" w:eastAsia="楷体" w:cs="楷体"/>
          <w:color w:val="auto"/>
          <w:highlight w:val="none"/>
          <w:lang w:val="en-US" w:eastAsia="zh-CN"/>
        </w:rPr>
        <w:t>2.重点工作任务</w:t>
      </w:r>
      <w:bookmarkEnd w:id="4"/>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任务1：稳步实施省域治理一网统管试点工作。结合园区工作实际，选取空气污染源监测、水污染监测、政务服务和应急指挥等专题进行探索和建设。</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任务2：高质量推进政务服务标准化体系建设。制定《松山湖政务服务均等化标准化专项行动实施方案》，编制特色标准文件，启动场地标准化、窗口团队培养标准化等方面建设工作。</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务3：持续强化数字化系统支撑能力。不断完善内部机制及提升信息化规范，通过强化系统运维的联动机制，降低办事过程的报错率；结合AI技术以及考核机制，对窗口人员进行综合监管，全方位提升窗口人员的服务水平。</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务4：着力打造园区一流营商环境。以企业群众满意度为宗旨，以政务服务标杆为标准，不断适应政务服务改革工作的需求，通过开展系列营商环境创新改革项目，让企业群众办事更便捷、更有效，不断提升政务环境，助力推进经济高质量发展。</w:t>
      </w:r>
    </w:p>
    <w:p>
      <w:pPr>
        <w:framePr w:wrap="auto" w:vAnchor="margin" w:hAnchor="text" w:yAlign="inline"/>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任务5：持续做好政务大厅日常管理。做好办公场所日常修缮维护、绿植租摆、四害消杀、深度清洁等工作，维持整洁有序的办公办事环境，启动便民区制冷风机加装、政务大厅天花板更新改造等项目，持续完善政务大厅各项设施设备，有效提升群众办事体验感。</w:t>
      </w:r>
    </w:p>
    <w:p>
      <w:pPr>
        <w:framePr w:wrap="auto" w:vAnchor="margin" w:hAnchor="text" w:yAlign="inline"/>
        <w:spacing w:line="600" w:lineRule="exact"/>
        <w:ind w:firstLine="640" w:firstLineChars="200"/>
        <w:rPr>
          <w:rFonts w:hint="default" w:eastAsia="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2022年松山湖政务服务中心的33个年初预算项目和1个年中调增项目均围绕以上目标任务开展。</w:t>
      </w:r>
    </w:p>
    <w:p>
      <w:pPr>
        <w:pStyle w:val="5"/>
        <w:framePr w:wrap="auto" w:vAnchor="margin" w:hAnchor="text" w:yAlign="inline"/>
        <w:numPr>
          <w:ilvl w:val="0"/>
          <w:numId w:val="2"/>
        </w:numPr>
        <w:spacing w:before="0" w:after="0" w:line="600" w:lineRule="exact"/>
        <w:ind w:firstLine="198"/>
        <w:rPr>
          <w:rFonts w:hint="eastAsia" w:ascii="Times New Roman" w:hAnsi="Times New Roman" w:eastAsia="黑体" w:cs="Times New Roman"/>
          <w:b/>
          <w:bCs/>
          <w:color w:val="auto"/>
          <w:kern w:val="44"/>
          <w:sz w:val="32"/>
          <w:szCs w:val="32"/>
          <w:highlight w:val="none"/>
          <w:lang w:val="en-US" w:eastAsia="zh-CN" w:bidi="ar-SA"/>
        </w:rPr>
      </w:pPr>
      <w:bookmarkStart w:id="5" w:name="_Toc24466"/>
      <w:r>
        <w:rPr>
          <w:rFonts w:hint="eastAsia" w:ascii="Times New Roman" w:hAnsi="Times New Roman" w:eastAsia="楷体" w:cs="Times New Roman"/>
          <w:color w:val="auto"/>
          <w:highlight w:val="none"/>
          <w:lang w:val="en-US" w:eastAsia="zh-CN"/>
        </w:rPr>
        <w:t>资金使用情况</w:t>
      </w:r>
      <w:bookmarkEnd w:id="5"/>
    </w:p>
    <w:p>
      <w:pPr>
        <w:framePr w:wrap="auto" w:vAnchor="margin" w:hAnchor="text" w:yAlign="inline"/>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据</w:t>
      </w:r>
      <w:r>
        <w:rPr>
          <w:rFonts w:hint="eastAsia" w:ascii="仿宋" w:hAnsi="仿宋" w:eastAsia="仿宋" w:cs="仿宋"/>
          <w:sz w:val="32"/>
          <w:szCs w:val="32"/>
          <w:highlight w:val="none"/>
        </w:rPr>
        <w:t>《松山湖政务服务中心部门整体支出绩效自评报告》</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关于征求&lt;松山湖政务服务中心部门整体绩效评价实施方案&gt;意见的复函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可知松山湖政务服务中心2022年年初预算金额为3158.41万元，预算调整数为2052.61万元，调整后预算数为1105.80万元，预算调整率为64.99%，实际支出数为1012.29万元，预算执行率为91.54％。</w:t>
      </w:r>
    </w:p>
    <w:p>
      <w:pPr>
        <w:framePr w:wrap="auto" w:vAnchor="margin" w:hAnchor="text" w:yAlign="inline"/>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2022年功能区年初预算数为310万元，预算调整数为165万元，调整后预算数145万元，预算调整率为53.23%，</w:t>
      </w:r>
    </w:p>
    <w:p>
      <w:pPr>
        <w:framePr w:wrap="auto" w:vAnchor="margin" w:hAnchor="text" w:yAlign="inline"/>
        <w:spacing w:line="600" w:lineRule="exact"/>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实际支出数为144.64万元，2022年功能区预算支出执行率为99.75％。</w:t>
      </w:r>
    </w:p>
    <w:p>
      <w:pPr>
        <w:pStyle w:val="14"/>
        <w:framePr w:wrap="auto" w:vAnchor="margin" w:hAnchor="text" w:yAlign="inline"/>
        <w:spacing w:line="240" w:lineRule="auto"/>
        <w:ind w:firstLine="640" w:firstLineChars="200"/>
        <w:jc w:val="left"/>
        <w:rPr>
          <w:rFonts w:hint="eastAsia" w:ascii="仿宋" w:hAnsi="仿宋" w:eastAsia="仿宋" w:cs="仿宋"/>
          <w:color w:val="000000"/>
          <w:kern w:val="2"/>
          <w:sz w:val="32"/>
          <w:szCs w:val="32"/>
          <w:highlight w:val="none"/>
          <w:lang w:val="zh-TW" w:eastAsia="zh-TW" w:bidi="ar-SA"/>
        </w:rPr>
      </w:pPr>
      <w:r>
        <w:rPr>
          <w:rFonts w:hint="eastAsia" w:ascii="仿宋" w:hAnsi="仿宋" w:eastAsia="仿宋" w:cs="仿宋"/>
          <w:color w:val="000000"/>
          <w:kern w:val="2"/>
          <w:sz w:val="32"/>
          <w:szCs w:val="32"/>
          <w:highlight w:val="none"/>
          <w:lang w:val="zh-TW" w:eastAsia="zh-TW" w:bidi="ar-SA"/>
        </w:rPr>
        <w:t>主要项目经费支出（实际执行数）及预算执行率明细如表1所示，大部分项目调整后预算执行率在90%以上。其中：预算执行率为100%的项目有8个，95%≤预算执行率＜100%的项目有17个，90%≤预算执行率＜95%的项目有1个，预算执行率＜90%的项目数1个，数字政府项目的预算执行率为47.56%。基于上述个别项目预算执行率不达标或不够高的情况，部分项目预算编制的合理性、准确性和科学性均有待提升。</w:t>
      </w:r>
    </w:p>
    <w:p>
      <w:pPr>
        <w:pStyle w:val="14"/>
        <w:framePr w:wrap="auto" w:vAnchor="margin" w:hAnchor="text" w:yAlign="inline"/>
        <w:ind w:firstLine="0"/>
        <w:jc w:val="center"/>
        <w:rPr>
          <w:rFonts w:hint="eastAsia" w:eastAsia="仿宋" w:cs="仿宋"/>
          <w:b/>
          <w:bCs/>
          <w:color w:val="auto"/>
          <w:highlight w:val="none"/>
          <w:lang w:val="zh-TW" w:eastAsia="zh-TW"/>
        </w:rPr>
      </w:pPr>
    </w:p>
    <w:p>
      <w:pPr>
        <w:pStyle w:val="14"/>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hint="eastAsia" w:eastAsia="仿宋" w:cs="仿宋"/>
          <w:b/>
          <w:bCs/>
          <w:color w:val="auto"/>
          <w:highlight w:val="none"/>
          <w:lang w:eastAsia="zh-CN"/>
        </w:rPr>
      </w:pPr>
      <w:r>
        <w:rPr>
          <w:rFonts w:hint="eastAsia" w:eastAsia="仿宋" w:cs="仿宋"/>
          <w:b/>
          <w:bCs/>
          <w:color w:val="auto"/>
          <w:highlight w:val="none"/>
          <w:lang w:val="zh-TW" w:eastAsia="zh-TW"/>
        </w:rPr>
        <w:t>表</w:t>
      </w:r>
      <w:r>
        <w:rPr>
          <w:rFonts w:hint="eastAsia" w:eastAsia="仿宋" w:cs="仿宋"/>
          <w:b/>
          <w:bCs/>
          <w:color w:val="auto"/>
          <w:highlight w:val="none"/>
          <w:lang w:val="en-US" w:eastAsia="zh-CN"/>
        </w:rPr>
        <w:t>1</w:t>
      </w:r>
      <w:r>
        <w:rPr>
          <w:rFonts w:hint="eastAsia" w:eastAsia="仿宋" w:cs="仿宋"/>
          <w:b/>
          <w:bCs/>
          <w:color w:val="auto"/>
          <w:highlight w:val="none"/>
        </w:rPr>
        <w:t xml:space="preserve">  202</w:t>
      </w:r>
      <w:r>
        <w:rPr>
          <w:rFonts w:hint="eastAsia" w:eastAsia="仿宋" w:cs="仿宋"/>
          <w:b/>
          <w:bCs/>
          <w:color w:val="auto"/>
          <w:highlight w:val="none"/>
          <w:lang w:val="en-US" w:eastAsia="zh-CN"/>
        </w:rPr>
        <w:t>2</w:t>
      </w:r>
      <w:r>
        <w:rPr>
          <w:rFonts w:hint="eastAsia" w:eastAsia="仿宋" w:cs="仿宋"/>
          <w:b/>
          <w:bCs/>
          <w:color w:val="auto"/>
          <w:highlight w:val="none"/>
          <w:lang w:val="zh-TW" w:eastAsia="zh-TW"/>
        </w:rPr>
        <w:t>年</w:t>
      </w:r>
      <w:r>
        <w:rPr>
          <w:rFonts w:hint="eastAsia" w:eastAsia="仿宋" w:cs="仿宋"/>
          <w:b/>
          <w:bCs/>
          <w:color w:val="auto"/>
          <w:highlight w:val="none"/>
        </w:rPr>
        <w:t>项目</w:t>
      </w:r>
      <w:r>
        <w:rPr>
          <w:rFonts w:hint="eastAsia" w:eastAsia="仿宋" w:cs="仿宋"/>
          <w:b/>
          <w:bCs/>
          <w:color w:val="auto"/>
          <w:highlight w:val="none"/>
          <w:lang w:val="zh-TW" w:eastAsia="zh-TW"/>
        </w:rPr>
        <w:t>经费预算执行</w:t>
      </w:r>
      <w:r>
        <w:rPr>
          <w:rFonts w:hint="eastAsia" w:eastAsia="仿宋" w:cs="仿宋"/>
          <w:b/>
          <w:bCs/>
          <w:color w:val="auto"/>
          <w:highlight w:val="none"/>
        </w:rPr>
        <w:t>率项目</w:t>
      </w:r>
      <w:r>
        <w:rPr>
          <w:rFonts w:hint="eastAsia" w:eastAsia="仿宋" w:cs="仿宋"/>
          <w:b/>
          <w:bCs/>
          <w:color w:val="auto"/>
          <w:highlight w:val="none"/>
          <w:lang w:val="zh-TW" w:eastAsia="zh-TW"/>
        </w:rPr>
        <w:t>明细表</w:t>
      </w:r>
      <w:r>
        <w:rPr>
          <w:rFonts w:hint="eastAsia" w:eastAsia="仿宋" w:cs="仿宋"/>
          <w:b/>
          <w:bCs/>
          <w:color w:val="auto"/>
          <w:highlight w:val="none"/>
          <w:lang w:val="zh-TW" w:eastAsia="zh-CN"/>
        </w:rPr>
        <w:t>（</w:t>
      </w:r>
      <w:r>
        <w:rPr>
          <w:rFonts w:hint="eastAsia" w:eastAsia="仿宋" w:cs="仿宋"/>
          <w:b/>
          <w:bCs/>
          <w:color w:val="auto"/>
          <w:highlight w:val="none"/>
          <w:lang w:val="zh-TW" w:eastAsia="zh-TW"/>
        </w:rPr>
        <w:t>单位：元</w:t>
      </w:r>
      <w:r>
        <w:rPr>
          <w:rFonts w:hint="eastAsia" w:eastAsia="仿宋" w:cs="仿宋"/>
          <w:b/>
          <w:bCs/>
          <w:color w:val="auto"/>
          <w:highlight w:val="none"/>
          <w:lang w:val="zh-TW" w:eastAsia="zh-CN"/>
        </w:rPr>
        <w:t>）</w:t>
      </w:r>
    </w:p>
    <w:tbl>
      <w:tblPr>
        <w:tblStyle w:val="12"/>
        <w:tblpPr w:leftFromText="180" w:rightFromText="180" w:vertAnchor="text" w:horzAnchor="page" w:tblpX="1918" w:tblpY="439"/>
        <w:tblOverlap w:val="never"/>
        <w:tblW w:w="4877" w:type="pct"/>
        <w:tblInd w:w="0" w:type="dxa"/>
        <w:tblLayout w:type="fixed"/>
        <w:tblCellMar>
          <w:top w:w="0" w:type="dxa"/>
          <w:left w:w="108" w:type="dxa"/>
          <w:bottom w:w="0" w:type="dxa"/>
          <w:right w:w="108" w:type="dxa"/>
        </w:tblCellMar>
      </w:tblPr>
      <w:tblGrid>
        <w:gridCol w:w="616"/>
        <w:gridCol w:w="1283"/>
        <w:gridCol w:w="1299"/>
        <w:gridCol w:w="1410"/>
        <w:gridCol w:w="1432"/>
        <w:gridCol w:w="1103"/>
        <w:gridCol w:w="1170"/>
      </w:tblGrid>
      <w:tr>
        <w:tblPrEx>
          <w:tblCellMar>
            <w:top w:w="0" w:type="dxa"/>
            <w:left w:w="108" w:type="dxa"/>
            <w:bottom w:w="0" w:type="dxa"/>
            <w:right w:w="108" w:type="dxa"/>
          </w:tblCellMar>
        </w:tblPrEx>
        <w:trPr>
          <w:trHeight w:val="619" w:hRule="atLeast"/>
        </w:trPr>
        <w:tc>
          <w:tcPr>
            <w:tcW w:w="370"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序号</w:t>
            </w:r>
          </w:p>
        </w:tc>
        <w:tc>
          <w:tcPr>
            <w:tcW w:w="771"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jc w:val="center"/>
              <w:textAlignment w:val="auto"/>
              <w:rPr>
                <w:rFonts w:eastAsia="仿宋" w:cs="仿宋"/>
                <w:b/>
                <w:bCs/>
                <w:sz w:val="21"/>
                <w:szCs w:val="21"/>
                <w:highlight w:val="none"/>
              </w:rPr>
            </w:pPr>
            <w:r>
              <w:rPr>
                <w:rFonts w:hint="eastAsia" w:eastAsia="仿宋" w:cs="仿宋"/>
                <w:b/>
                <w:bCs/>
                <w:sz w:val="21"/>
                <w:szCs w:val="21"/>
                <w:highlight w:val="none"/>
              </w:rPr>
              <w:t>项目名称</w:t>
            </w:r>
          </w:p>
        </w:tc>
        <w:tc>
          <w:tcPr>
            <w:tcW w:w="781"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年初预算数</w:t>
            </w:r>
          </w:p>
        </w:tc>
        <w:tc>
          <w:tcPr>
            <w:tcW w:w="848"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预算数</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（调整后）</w:t>
            </w:r>
          </w:p>
        </w:tc>
        <w:tc>
          <w:tcPr>
            <w:tcW w:w="861"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实际执行数</w:t>
            </w:r>
          </w:p>
        </w:tc>
        <w:tc>
          <w:tcPr>
            <w:tcW w:w="663"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年初预算执行率(%)</w:t>
            </w:r>
          </w:p>
        </w:tc>
        <w:tc>
          <w:tcPr>
            <w:tcW w:w="703" w:type="pct"/>
            <w:tcBorders>
              <w:top w:val="thinThickSmallGap" w:color="000000" w:sz="24" w:space="0"/>
              <w:left w:val="single" w:color="000000" w:sz="4" w:space="0"/>
              <w:bottom w:val="thinThickSmallGap" w:color="000000" w:sz="24" w:space="0"/>
              <w:right w:val="single" w:color="000000" w:sz="4" w:space="0"/>
            </w:tcBorders>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firstLine="0"/>
              <w:jc w:val="center"/>
              <w:textAlignment w:val="auto"/>
              <w:rPr>
                <w:rFonts w:eastAsia="仿宋" w:cs="仿宋"/>
                <w:b/>
                <w:bCs/>
                <w:sz w:val="21"/>
                <w:szCs w:val="21"/>
                <w:highlight w:val="none"/>
              </w:rPr>
            </w:pPr>
            <w:r>
              <w:rPr>
                <w:rFonts w:hint="eastAsia" w:eastAsia="仿宋" w:cs="仿宋"/>
                <w:b/>
                <w:bCs/>
                <w:sz w:val="21"/>
                <w:szCs w:val="21"/>
                <w:highlight w:val="none"/>
              </w:rPr>
              <w:t>预算执行率（调整后）（%）</w:t>
            </w:r>
          </w:p>
        </w:tc>
      </w:tr>
      <w:tr>
        <w:tblPrEx>
          <w:tblCellMar>
            <w:top w:w="0" w:type="dxa"/>
            <w:left w:w="108" w:type="dxa"/>
            <w:bottom w:w="0" w:type="dxa"/>
            <w:right w:w="108" w:type="dxa"/>
          </w:tblCellMar>
        </w:tblPrEx>
        <w:trPr>
          <w:trHeight w:val="280" w:hRule="atLeast"/>
        </w:trPr>
        <w:tc>
          <w:tcPr>
            <w:tcW w:w="370"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w:t>
            </w:r>
          </w:p>
        </w:tc>
        <w:tc>
          <w:tcPr>
            <w:tcW w:w="771"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大厅宣传推广项目</w:t>
            </w:r>
          </w:p>
        </w:tc>
        <w:tc>
          <w:tcPr>
            <w:tcW w:w="781"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100000</w:t>
            </w:r>
            <w:r>
              <w:rPr>
                <w:rFonts w:hint="eastAsia" w:eastAsia="仿宋" w:cs="仿宋"/>
                <w:kern w:val="0"/>
                <w:sz w:val="20"/>
                <w:szCs w:val="20"/>
                <w:highlight w:val="none"/>
                <w:lang w:eastAsia="zh-CN" w:bidi="ar"/>
              </w:rPr>
              <w:t>.</w:t>
            </w:r>
            <w:r>
              <w:rPr>
                <w:rFonts w:hint="eastAsia" w:eastAsia="仿宋" w:cs="仿宋"/>
                <w:kern w:val="0"/>
                <w:sz w:val="20"/>
                <w:szCs w:val="20"/>
                <w:highlight w:val="none"/>
                <w:lang w:val="en-US" w:eastAsia="zh-CN" w:bidi="ar"/>
              </w:rPr>
              <w:t>00</w:t>
            </w:r>
          </w:p>
        </w:tc>
        <w:tc>
          <w:tcPr>
            <w:tcW w:w="848"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100.00</w:t>
            </w:r>
            <w:r>
              <w:rPr>
                <w:rFonts w:hint="eastAsia" w:eastAsia="仿宋" w:cs="仿宋"/>
                <w:kern w:val="0"/>
                <w:sz w:val="20"/>
                <w:szCs w:val="20"/>
                <w:highlight w:val="none"/>
                <w:lang w:bidi="ar"/>
              </w:rPr>
              <w:t xml:space="preserve"> </w:t>
            </w:r>
            <w:r>
              <w:rPr>
                <w:rFonts w:hint="eastAsia" w:eastAsia="仿宋" w:cs="仿宋"/>
                <w:kern w:val="0"/>
                <w:sz w:val="20"/>
                <w:szCs w:val="20"/>
                <w:highlight w:val="none"/>
                <w:lang w:val="en-US" w:eastAsia="zh-CN" w:bidi="ar"/>
              </w:rPr>
              <w:t>%</w:t>
            </w:r>
          </w:p>
        </w:tc>
        <w:tc>
          <w:tcPr>
            <w:tcW w:w="703" w:type="pct"/>
            <w:tcBorders>
              <w:top w:val="thinThickSmallGap" w:color="000000" w:sz="2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r>
              <w:rPr>
                <w:rFonts w:hint="eastAsia" w:eastAsia="仿宋" w:cs="仿宋"/>
                <w:kern w:val="0"/>
                <w:sz w:val="20"/>
                <w:szCs w:val="20"/>
                <w:highlight w:val="none"/>
                <w:lang w:bidi="ar"/>
              </w:rPr>
              <w:t xml:space="preserve"> </w:t>
            </w:r>
            <w:r>
              <w:rPr>
                <w:rFonts w:hint="eastAsia" w:eastAsia="仿宋" w:cs="仿宋"/>
                <w:kern w:val="0"/>
                <w:sz w:val="20"/>
                <w:szCs w:val="20"/>
                <w:highlight w:val="none"/>
                <w:lang w:val="en-US" w:eastAsia="zh-CN" w:bidi="ar"/>
              </w:rPr>
              <w:t>%</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非经营性物业日常绿化/维护经费</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464738</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464738</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459352.8</w:t>
            </w:r>
            <w:r>
              <w:rPr>
                <w:rFonts w:hint="eastAsia" w:eastAsia="仿宋" w:cs="仿宋"/>
                <w:kern w:val="0"/>
                <w:sz w:val="20"/>
                <w:szCs w:val="20"/>
                <w:highlight w:val="none"/>
                <w:lang w:val="en-US" w:eastAsia="zh-CN" w:bidi="ar"/>
              </w:rPr>
              <w:t>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98.84%</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98.84%</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货物购置类项目（物资储备）</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350000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 xml:space="preserve">344177.39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344046.9</w:t>
            </w:r>
            <w:r>
              <w:rPr>
                <w:rFonts w:hint="eastAsia" w:eastAsia="仿宋" w:cs="仿宋"/>
                <w:kern w:val="0"/>
                <w:sz w:val="20"/>
                <w:szCs w:val="20"/>
                <w:highlight w:val="none"/>
                <w:lang w:val="en-US" w:eastAsia="zh-CN" w:bidi="ar"/>
              </w:rPr>
              <w:t>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98.30%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99.96%</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大</w:t>
            </w:r>
            <w:r>
              <w:rPr>
                <w:rFonts w:hint="eastAsia" w:eastAsia="仿宋" w:cs="仿宋"/>
                <w:kern w:val="0"/>
                <w:sz w:val="20"/>
                <w:szCs w:val="20"/>
                <w:highlight w:val="none"/>
                <w:lang w:bidi="ar"/>
              </w:rPr>
              <w:t>厅维修工程项目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1470000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1470000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 xml:space="preserve">1469948.52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100.00%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647"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水电费补助</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53000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49820.65</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45961.92</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86.72%</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92.25%</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优才服务区项目（新增项目）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大厅保险项目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基础设施服务项目（含云服务、网络线路租赁服务、托管服务）</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103200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103200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103200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营商环境创新改革项目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政务大厅工作人员培训</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90000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87700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87.70%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97.44%</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导办台项目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500000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500000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499140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99.83%</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99.83%</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货物购置类项目（专用设备购置）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486000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437000.00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430123.86</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88.50%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98.43%</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物业管理费</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1397441</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1397441</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1359975.55</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97.32%</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97.32%</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运行维护经费（其他专用设备）</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335000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335000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334780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99.93%</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99.93%</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货物购置类项目（办公设备购置）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120000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120000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119730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99.78%</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99.78%</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专</w:t>
            </w:r>
            <w:r>
              <w:rPr>
                <w:rFonts w:hint="eastAsia" w:eastAsia="仿宋" w:cs="仿宋"/>
                <w:kern w:val="0"/>
                <w:sz w:val="20"/>
                <w:szCs w:val="20"/>
                <w:highlight w:val="none"/>
                <w:lang w:bidi="ar"/>
              </w:rPr>
              <w:t>业软件购置及提升</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299205</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99.74%</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99.74%</w:t>
            </w:r>
          </w:p>
        </w:tc>
      </w:tr>
      <w:tr>
        <w:tblPrEx>
          <w:tblCellMar>
            <w:top w:w="0" w:type="dxa"/>
            <w:left w:w="108" w:type="dxa"/>
            <w:bottom w:w="0" w:type="dxa"/>
            <w:right w:w="108" w:type="dxa"/>
          </w:tblCellMar>
        </w:tblPrEx>
        <w:trPr>
          <w:trHeight w:val="582"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货物购置类项目（服装制服）</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399800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99.95%</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99.95%</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网站和政务新媒体运维</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199000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99.50%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99.50%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运维服务项目（基础设施运行维护服务、软件系统运行维护服务）</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753200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753200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748249.21</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99.34%</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99.34%</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窗口法律咨询项目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60000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60000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57000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95.00%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95.00%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数字政府</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900000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900000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428000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color w:val="FF0000"/>
                <w:kern w:val="0"/>
                <w:sz w:val="20"/>
                <w:szCs w:val="20"/>
                <w:highlight w:val="none"/>
                <w:lang w:val="en-US" w:eastAsia="zh-CN" w:bidi="ar"/>
              </w:rPr>
            </w:pPr>
            <w:r>
              <w:rPr>
                <w:rFonts w:hint="eastAsia" w:eastAsia="仿宋" w:cs="仿宋"/>
                <w:color w:val="FF0000"/>
                <w:kern w:val="0"/>
                <w:sz w:val="20"/>
                <w:szCs w:val="20"/>
                <w:highlight w:val="none"/>
                <w:lang w:val="en-US" w:eastAsia="zh-CN" w:bidi="ar"/>
              </w:rPr>
              <w:t>47.56%</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color w:val="FF0000"/>
                <w:kern w:val="0"/>
                <w:sz w:val="20"/>
                <w:szCs w:val="20"/>
                <w:highlight w:val="none"/>
                <w:lang w:bidi="ar"/>
              </w:rPr>
            </w:pPr>
            <w:r>
              <w:rPr>
                <w:rFonts w:hint="eastAsia" w:eastAsia="仿宋" w:cs="仿宋"/>
                <w:color w:val="FF0000"/>
                <w:kern w:val="0"/>
                <w:sz w:val="20"/>
                <w:szCs w:val="20"/>
                <w:highlight w:val="none"/>
                <w:lang w:val="en-US" w:eastAsia="zh-CN" w:bidi="ar"/>
              </w:rPr>
              <w:t>47.56%</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派遣人员公用经费</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168000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138250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138230.97</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82.28%</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99.99%</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邮政项目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205000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205000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203870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99.45%</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99.45%</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园区电子政务云项目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320000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320000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304875.91</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95.27%</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95.27%</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标准化服务之星项目</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120000</w:t>
            </w:r>
            <w:r>
              <w:rPr>
                <w:rFonts w:hint="eastAsia"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120000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eastAsia="仿宋" w:cs="仿宋"/>
                <w:kern w:val="0"/>
                <w:sz w:val="20"/>
                <w:szCs w:val="20"/>
                <w:highlight w:val="none"/>
                <w:lang w:bidi="ar"/>
              </w:rPr>
            </w:pPr>
            <w:r>
              <w:rPr>
                <w:rFonts w:hint="eastAsia" w:eastAsia="仿宋" w:cs="仿宋"/>
                <w:kern w:val="0"/>
                <w:sz w:val="20"/>
                <w:szCs w:val="20"/>
                <w:highlight w:val="none"/>
                <w:lang w:bidi="ar"/>
              </w:rPr>
              <w:t>120000</w:t>
            </w:r>
            <w:r>
              <w:rPr>
                <w:rFonts w:hint="eastAsia" w:eastAsia="仿宋" w:cs="仿宋"/>
                <w:kern w:val="0"/>
                <w:sz w:val="20"/>
                <w:szCs w:val="20"/>
                <w:highlight w:val="none"/>
                <w:lang w:val="en-US" w:eastAsia="zh-CN" w:bidi="ar"/>
              </w:rPr>
              <w:t>.00</w:t>
            </w:r>
            <w:r>
              <w:rPr>
                <w:rFonts w:hint="eastAsia"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eastAsia="仿宋" w:cs="仿宋"/>
                <w:kern w:val="0"/>
                <w:sz w:val="20"/>
                <w:szCs w:val="20"/>
                <w:highlight w:val="none"/>
                <w:lang w:val="en-US" w:eastAsia="zh-CN" w:bidi="ar"/>
              </w:rPr>
            </w:pPr>
            <w:r>
              <w:rPr>
                <w:rFonts w:hint="eastAsia" w:eastAsia="仿宋" w:cs="仿宋"/>
                <w:kern w:val="0"/>
                <w:sz w:val="20"/>
                <w:szCs w:val="20"/>
                <w:highlight w:val="none"/>
                <w:lang w:val="en-US" w:eastAsia="zh-CN" w:bidi="ar"/>
              </w:rPr>
              <w:t>100.00%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eastAsia="仿宋" w:cs="仿宋"/>
                <w:kern w:val="0"/>
                <w:sz w:val="20"/>
                <w:szCs w:val="20"/>
                <w:highlight w:val="none"/>
                <w:lang w:bidi="ar"/>
              </w:rPr>
            </w:pPr>
            <w:r>
              <w:rPr>
                <w:rFonts w:hint="eastAsia" w:eastAsia="仿宋" w:cs="仿宋"/>
                <w:kern w:val="0"/>
                <w:sz w:val="20"/>
                <w:szCs w:val="20"/>
                <w:highlight w:val="none"/>
                <w:lang w:val="en-US" w:eastAsia="zh-CN" w:bidi="ar"/>
              </w:rPr>
              <w:t>100.00%</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center"/>
              <w:textAlignment w:val="center"/>
              <w:rPr>
                <w:rFonts w:hint="default" w:ascii="Times New Roman" w:hAnsi="Times New Roman" w:eastAsia="仿宋" w:cs="仿宋"/>
                <w:kern w:val="0"/>
                <w:sz w:val="20"/>
                <w:szCs w:val="20"/>
                <w:highlight w:val="none"/>
                <w:lang w:val="en-US" w:eastAsia="zh-CN" w:bidi="ar"/>
              </w:rPr>
            </w:pPr>
            <w:r>
              <w:rPr>
                <w:rFonts w:hint="eastAsia" w:ascii="Times New Roman" w:hAnsi="Times New Roman" w:eastAsia="仿宋" w:cs="仿宋"/>
                <w:kern w:val="0"/>
                <w:sz w:val="20"/>
                <w:szCs w:val="20"/>
                <w:highlight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功能区培训</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100000</w:t>
            </w:r>
            <w:r>
              <w:rPr>
                <w:rFonts w:hint="eastAsia" w:ascii="Times New Roman" w:hAnsi="Times New Roman"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100000</w:t>
            </w:r>
            <w:r>
              <w:rPr>
                <w:rFonts w:hint="eastAsia" w:ascii="Times New Roman" w:hAnsi="Times New Roman" w:eastAsia="仿宋" w:cs="仿宋"/>
                <w:kern w:val="0"/>
                <w:sz w:val="20"/>
                <w:szCs w:val="20"/>
                <w:highlight w:val="none"/>
                <w:lang w:val="en-US" w:eastAsia="zh-CN" w:bidi="ar"/>
              </w:rPr>
              <w:t>.00</w:t>
            </w:r>
            <w:r>
              <w:rPr>
                <w:rFonts w:hint="eastAsia" w:ascii="Times New Roman" w:hAnsi="Times New Roman"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96408</w:t>
            </w:r>
            <w:r>
              <w:rPr>
                <w:rFonts w:hint="eastAsia" w:ascii="Times New Roman" w:hAnsi="Times New Roman" w:eastAsia="仿宋" w:cs="仿宋"/>
                <w:kern w:val="0"/>
                <w:sz w:val="20"/>
                <w:szCs w:val="20"/>
                <w:highlight w:val="none"/>
                <w:lang w:val="en-US" w:eastAsia="zh-CN" w:bidi="ar"/>
              </w:rPr>
              <w:t>.00</w:t>
            </w:r>
            <w:r>
              <w:rPr>
                <w:rFonts w:hint="eastAsia" w:ascii="Times New Roman" w:hAnsi="Times New Roman"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ascii="Times New Roman" w:hAnsi="Times New Roman" w:eastAsia="仿宋" w:cs="仿宋"/>
                <w:kern w:val="0"/>
                <w:sz w:val="20"/>
                <w:szCs w:val="20"/>
                <w:highlight w:val="none"/>
                <w:lang w:val="en-US" w:eastAsia="zh-CN" w:bidi="ar"/>
              </w:rPr>
            </w:pPr>
            <w:r>
              <w:rPr>
                <w:rFonts w:hint="eastAsia" w:ascii="Times New Roman" w:hAnsi="Times New Roman" w:eastAsia="仿宋" w:cs="仿宋"/>
                <w:kern w:val="0"/>
                <w:sz w:val="20"/>
                <w:szCs w:val="20"/>
                <w:highlight w:val="none"/>
                <w:lang w:val="en-US" w:eastAsia="zh-CN" w:bidi="ar"/>
              </w:rPr>
              <w:t>96.41%</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val="en-US" w:eastAsia="zh-CN" w:bidi="ar"/>
              </w:rPr>
              <w:t>96.41%</w:t>
            </w:r>
          </w:p>
        </w:tc>
      </w:tr>
      <w:tr>
        <w:tblPrEx>
          <w:tblCellMar>
            <w:top w:w="0" w:type="dxa"/>
            <w:left w:w="108" w:type="dxa"/>
            <w:bottom w:w="0" w:type="dxa"/>
            <w:right w:w="108" w:type="dxa"/>
          </w:tblCellMar>
        </w:tblPrEx>
        <w:trPr>
          <w:trHeight w:val="280" w:hRule="atLeast"/>
        </w:trPr>
        <w:tc>
          <w:tcPr>
            <w:tcW w:w="370"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center"/>
              <w:textAlignment w:val="center"/>
              <w:rPr>
                <w:rFonts w:hint="default" w:ascii="Times New Roman" w:hAnsi="Times New Roman" w:eastAsia="仿宋" w:cs="仿宋"/>
                <w:kern w:val="0"/>
                <w:sz w:val="20"/>
                <w:szCs w:val="20"/>
                <w:highlight w:val="none"/>
                <w:lang w:val="en-US" w:eastAsia="zh-CN" w:bidi="ar"/>
              </w:rPr>
            </w:pPr>
            <w:r>
              <w:rPr>
                <w:rFonts w:hint="eastAsia" w:ascii="Times New Roman" w:hAnsi="Times New Roman" w:eastAsia="仿宋" w:cs="仿宋"/>
                <w:kern w:val="0"/>
                <w:sz w:val="20"/>
                <w:szCs w:val="20"/>
                <w:highlight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广东省均等化政务服务标准化试点建设</w:t>
            </w:r>
          </w:p>
        </w:tc>
        <w:tc>
          <w:tcPr>
            <w:tcW w:w="78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3000000</w:t>
            </w:r>
            <w:r>
              <w:rPr>
                <w:rFonts w:hint="eastAsia" w:ascii="Times New Roman" w:hAnsi="Times New Roman" w:eastAsia="仿宋" w:cs="仿宋"/>
                <w:kern w:val="0"/>
                <w:sz w:val="20"/>
                <w:szCs w:val="20"/>
                <w:highlight w:val="none"/>
                <w:lang w:val="en-US" w:eastAsia="zh-CN" w:bidi="ar"/>
              </w:rPr>
              <w:t>.00</w:t>
            </w:r>
          </w:p>
        </w:tc>
        <w:tc>
          <w:tcPr>
            <w:tcW w:w="848"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1350000</w:t>
            </w:r>
            <w:r>
              <w:rPr>
                <w:rFonts w:hint="eastAsia" w:ascii="Times New Roman" w:hAnsi="Times New Roman" w:eastAsia="仿宋" w:cs="仿宋"/>
                <w:kern w:val="0"/>
                <w:sz w:val="20"/>
                <w:szCs w:val="20"/>
                <w:highlight w:val="none"/>
                <w:lang w:val="en-US" w:eastAsia="zh-CN" w:bidi="ar"/>
              </w:rPr>
              <w:t>.00</w:t>
            </w:r>
            <w:r>
              <w:rPr>
                <w:rFonts w:hint="eastAsia" w:ascii="Times New Roman" w:hAnsi="Times New Roman" w:eastAsia="仿宋" w:cs="仿宋"/>
                <w:kern w:val="0"/>
                <w:sz w:val="20"/>
                <w:szCs w:val="20"/>
                <w:highlight w:val="none"/>
                <w:lang w:bidi="ar"/>
              </w:rPr>
              <w:t xml:space="preserve"> </w:t>
            </w:r>
          </w:p>
        </w:tc>
        <w:tc>
          <w:tcPr>
            <w:tcW w:w="861"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jc w:val="left"/>
              <w:textAlignment w:val="center"/>
              <w:rPr>
                <w:rFonts w:hint="eastAsia" w:ascii="Times New Roman" w:hAnsi="Times New Roman" w:eastAsia="仿宋" w:cs="仿宋"/>
                <w:kern w:val="0"/>
                <w:sz w:val="20"/>
                <w:szCs w:val="20"/>
                <w:highlight w:val="none"/>
                <w:lang w:bidi="ar"/>
              </w:rPr>
            </w:pPr>
            <w:r>
              <w:rPr>
                <w:rFonts w:hint="eastAsia" w:ascii="Times New Roman" w:hAnsi="Times New Roman" w:eastAsia="仿宋" w:cs="仿宋"/>
                <w:kern w:val="0"/>
                <w:sz w:val="20"/>
                <w:szCs w:val="20"/>
                <w:highlight w:val="none"/>
                <w:lang w:bidi="ar"/>
              </w:rPr>
              <w:t>1350000</w:t>
            </w:r>
            <w:r>
              <w:rPr>
                <w:rFonts w:hint="eastAsia" w:ascii="Times New Roman" w:hAnsi="Times New Roman" w:eastAsia="仿宋" w:cs="仿宋"/>
                <w:kern w:val="0"/>
                <w:sz w:val="20"/>
                <w:szCs w:val="20"/>
                <w:highlight w:val="none"/>
                <w:lang w:val="en-US" w:eastAsia="zh-CN" w:bidi="ar"/>
              </w:rPr>
              <w:t>.00</w:t>
            </w:r>
            <w:r>
              <w:rPr>
                <w:rFonts w:hint="eastAsia" w:ascii="Times New Roman" w:hAnsi="Times New Roman" w:eastAsia="仿宋" w:cs="仿宋"/>
                <w:kern w:val="0"/>
                <w:sz w:val="20"/>
                <w:szCs w:val="20"/>
                <w:highlight w:val="none"/>
                <w:lang w:bidi="ar"/>
              </w:rPr>
              <w:t xml:space="preserve"> </w:t>
            </w:r>
          </w:p>
        </w:tc>
        <w:tc>
          <w:tcPr>
            <w:tcW w:w="66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ascii="Times New Roman" w:hAnsi="Times New Roman" w:eastAsia="仿宋" w:cs="仿宋"/>
                <w:kern w:val="0"/>
                <w:sz w:val="20"/>
                <w:szCs w:val="20"/>
                <w:highlight w:val="none"/>
                <w:lang w:val="en-US" w:eastAsia="zh-CN" w:bidi="ar"/>
              </w:rPr>
            </w:pPr>
            <w:r>
              <w:rPr>
                <w:rFonts w:hint="eastAsia" w:ascii="Times New Roman" w:hAnsi="Times New Roman" w:eastAsia="仿宋" w:cs="仿宋"/>
                <w:color w:val="auto"/>
                <w:kern w:val="0"/>
                <w:sz w:val="20"/>
                <w:szCs w:val="20"/>
                <w:highlight w:val="none"/>
                <w:lang w:val="en-US" w:eastAsia="zh-CN" w:bidi="ar"/>
              </w:rPr>
              <w:t>45.00%</w:t>
            </w:r>
          </w:p>
        </w:tc>
        <w:tc>
          <w:tcPr>
            <w:tcW w:w="703" w:type="pct"/>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widowControl/>
              <w:spacing w:line="240" w:lineRule="auto"/>
              <w:ind w:left="0" w:leftChars="0" w:firstLine="0" w:firstLineChars="0"/>
              <w:jc w:val="center"/>
              <w:textAlignment w:val="center"/>
              <w:rPr>
                <w:rFonts w:hint="default" w:ascii="Times New Roman" w:hAnsi="Times New Roman" w:eastAsia="仿宋" w:cs="仿宋"/>
                <w:kern w:val="0"/>
                <w:sz w:val="20"/>
                <w:szCs w:val="20"/>
                <w:highlight w:val="none"/>
                <w:lang w:val="en-US" w:eastAsia="zh-CN" w:bidi="ar"/>
              </w:rPr>
            </w:pPr>
            <w:r>
              <w:rPr>
                <w:rFonts w:hint="eastAsia" w:ascii="Times New Roman" w:hAnsi="Times New Roman" w:eastAsia="仿宋" w:cs="仿宋"/>
                <w:kern w:val="0"/>
                <w:sz w:val="20"/>
                <w:szCs w:val="20"/>
                <w:highlight w:val="none"/>
                <w:lang w:val="en-US" w:eastAsia="zh-CN" w:bidi="ar"/>
              </w:rPr>
              <w:t>100.00%</w:t>
            </w:r>
          </w:p>
        </w:tc>
      </w:tr>
    </w:tbl>
    <w:p>
      <w:pPr>
        <w:framePr w:wrap="auto" w:vAnchor="margin" w:hAnchor="text" w:yAlign="inline"/>
        <w:spacing w:line="600" w:lineRule="exact"/>
        <w:ind w:left="0" w:leftChars="0" w:firstLine="0" w:firstLineChars="0"/>
        <w:rPr>
          <w:rFonts w:hint="eastAsia" w:ascii="仿宋" w:hAnsi="仿宋" w:eastAsia="仿宋" w:cs="仿宋"/>
          <w:sz w:val="32"/>
          <w:szCs w:val="32"/>
          <w:highlight w:val="none"/>
          <w:lang w:val="en-US" w:eastAsia="zh-CN"/>
        </w:rPr>
      </w:pPr>
    </w:p>
    <w:p>
      <w:pPr>
        <w:pStyle w:val="5"/>
        <w:framePr w:wrap="auto" w:vAnchor="margin" w:hAnchor="text" w:yAlign="inline"/>
        <w:numPr>
          <w:ilvl w:val="0"/>
          <w:numId w:val="1"/>
        </w:numPr>
        <w:spacing w:before="0" w:after="0" w:line="600" w:lineRule="exact"/>
        <w:ind w:left="0" w:leftChars="0" w:firstLine="200" w:firstLineChars="0"/>
        <w:outlineLvl w:val="0"/>
        <w:rPr>
          <w:rFonts w:hint="eastAsia" w:ascii="Times New Roman" w:hAnsi="Times New Roman" w:eastAsia="楷体" w:cs="Times New Roman"/>
          <w:b/>
          <w:bCs/>
          <w:color w:val="auto"/>
          <w:kern w:val="0"/>
          <w:sz w:val="32"/>
          <w:szCs w:val="32"/>
          <w:highlight w:val="none"/>
          <w:lang w:val="en-US" w:eastAsia="zh-CN" w:bidi="ar-SA"/>
        </w:rPr>
      </w:pPr>
      <w:bookmarkStart w:id="6" w:name="_Toc19174"/>
      <w:r>
        <w:rPr>
          <w:rFonts w:hint="eastAsia" w:ascii="Times New Roman" w:hAnsi="Times New Roman" w:eastAsia="黑体" w:cs="Times New Roman"/>
          <w:b/>
          <w:bCs/>
          <w:color w:val="auto"/>
          <w:kern w:val="44"/>
          <w:sz w:val="32"/>
          <w:szCs w:val="32"/>
          <w:highlight w:val="none"/>
          <w:lang w:val="en-US" w:eastAsia="zh-CN" w:bidi="ar-SA"/>
        </w:rPr>
        <w:t>绩效评价结果</w:t>
      </w:r>
      <w:bookmarkEnd w:id="6"/>
    </w:p>
    <w:p>
      <w:pPr>
        <w:pStyle w:val="5"/>
        <w:framePr w:wrap="auto" w:vAnchor="margin" w:hAnchor="text" w:yAlign="inline"/>
        <w:numPr>
          <w:ilvl w:val="0"/>
          <w:numId w:val="3"/>
        </w:numPr>
        <w:spacing w:before="0" w:after="0" w:line="600" w:lineRule="exact"/>
        <w:rPr>
          <w:rFonts w:hint="eastAsia" w:ascii="Times New Roman" w:hAnsi="Times New Roman" w:eastAsia="楷体" w:cs="Times New Roman"/>
          <w:b/>
          <w:bCs/>
          <w:color w:val="auto"/>
          <w:kern w:val="0"/>
          <w:sz w:val="32"/>
          <w:szCs w:val="32"/>
          <w:highlight w:val="none"/>
          <w:lang w:val="en-US" w:eastAsia="zh-CN" w:bidi="ar-SA"/>
        </w:rPr>
      </w:pPr>
      <w:bookmarkStart w:id="7" w:name="_Toc4908"/>
      <w:r>
        <w:rPr>
          <w:rFonts w:hint="eastAsia" w:ascii="Times New Roman" w:hAnsi="Times New Roman" w:eastAsia="楷体" w:cs="Times New Roman"/>
          <w:b/>
          <w:bCs/>
          <w:color w:val="auto"/>
          <w:kern w:val="0"/>
          <w:sz w:val="32"/>
          <w:szCs w:val="32"/>
          <w:highlight w:val="none"/>
          <w:lang w:val="en-US" w:eastAsia="zh-CN" w:bidi="ar-SA"/>
        </w:rPr>
        <w:t>评价结论</w:t>
      </w:r>
      <w:bookmarkEnd w:id="7"/>
    </w:p>
    <w:p>
      <w:pPr>
        <w:pStyle w:val="14"/>
        <w:framePr w:wrap="auto" w:vAnchor="margin" w:hAnchor="text" w:yAlign="inline"/>
        <w:ind w:firstLine="640" w:firstLineChars="200"/>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zh-TW" w:eastAsia="zh-TW"/>
        </w:rPr>
        <w:t>次评价的专家组，秉承“依法、科学、客观、公正”的原则，严格遵守协议规定，对</w:t>
      </w:r>
      <w:r>
        <w:rPr>
          <w:rFonts w:hint="eastAsia" w:ascii="仿宋" w:hAnsi="仿宋" w:eastAsia="仿宋" w:cs="仿宋"/>
          <w:color w:val="auto"/>
          <w:sz w:val="32"/>
          <w:szCs w:val="32"/>
          <w:highlight w:val="none"/>
        </w:rPr>
        <w:t>预算编制情况、预算执行情况、内控制度与</w:t>
      </w:r>
      <w:r>
        <w:rPr>
          <w:rFonts w:hint="eastAsia" w:ascii="仿宋" w:hAnsi="仿宋" w:eastAsia="仿宋" w:cs="仿宋"/>
          <w:color w:val="auto"/>
          <w:sz w:val="32"/>
          <w:szCs w:val="32"/>
          <w:highlight w:val="none"/>
          <w:lang w:val="zh-TW" w:eastAsia="zh-TW"/>
        </w:rPr>
        <w:t>人力资源管理、履行职责业绩、履行职责效果进行了客观评价。经综合评价，东莞市</w:t>
      </w:r>
      <w:r>
        <w:rPr>
          <w:rFonts w:hint="eastAsia" w:ascii="仿宋" w:hAnsi="仿宋" w:eastAsia="仿宋" w:cs="仿宋"/>
          <w:color w:val="auto"/>
          <w:sz w:val="32"/>
          <w:szCs w:val="32"/>
          <w:highlight w:val="none"/>
          <w:lang w:val="en-US" w:eastAsia="zh-CN"/>
        </w:rPr>
        <w:t>松山湖政务</w:t>
      </w:r>
      <w:r>
        <w:rPr>
          <w:rFonts w:hint="eastAsia" w:ascii="仿宋" w:hAnsi="仿宋" w:eastAsia="仿宋" w:cs="仿宋"/>
          <w:color w:val="auto"/>
          <w:sz w:val="32"/>
          <w:szCs w:val="32"/>
          <w:highlight w:val="none"/>
          <w:lang w:val="zh-TW" w:eastAsia="zh-TW"/>
        </w:rPr>
        <w:t>服务中心202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zh-TW" w:eastAsia="zh-TW"/>
        </w:rPr>
        <w:t>年度部门整体支出实施绩效评价结果为</w:t>
      </w:r>
      <w:r>
        <w:rPr>
          <w:rFonts w:hint="eastAsia" w:ascii="仿宋" w:hAnsi="仿宋" w:eastAsia="仿宋" w:cs="仿宋"/>
          <w:color w:val="auto"/>
          <w:sz w:val="32"/>
          <w:szCs w:val="32"/>
          <w:highlight w:val="none"/>
          <w:lang w:val="en-US" w:eastAsia="zh-CN"/>
        </w:rPr>
        <w:t>86.5</w:t>
      </w:r>
      <w:r>
        <w:rPr>
          <w:rFonts w:hint="eastAsia" w:ascii="仿宋" w:hAnsi="仿宋" w:eastAsia="仿宋" w:cs="仿宋"/>
          <w:color w:val="auto"/>
          <w:sz w:val="32"/>
          <w:szCs w:val="32"/>
          <w:highlight w:val="none"/>
          <w:lang w:val="zh-TW" w:eastAsia="zh-TW"/>
        </w:rPr>
        <w:t>分，绩效等级为“</w:t>
      </w:r>
      <w:r>
        <w:rPr>
          <w:rFonts w:hint="eastAsia" w:ascii="仿宋" w:hAnsi="仿宋" w:eastAsia="仿宋" w:cs="仿宋"/>
          <w:color w:val="auto"/>
          <w:sz w:val="32"/>
          <w:szCs w:val="32"/>
          <w:highlight w:val="none"/>
          <w:lang w:val="en-US" w:eastAsia="zh-CN"/>
        </w:rPr>
        <w:t>良</w:t>
      </w:r>
      <w:r>
        <w:rPr>
          <w:rFonts w:hint="eastAsia" w:ascii="仿宋" w:hAnsi="仿宋" w:eastAsia="仿宋" w:cs="仿宋"/>
          <w:color w:val="auto"/>
          <w:sz w:val="32"/>
          <w:szCs w:val="32"/>
          <w:highlight w:val="none"/>
          <w:lang w:val="zh-TW" w:eastAsia="zh-TW"/>
        </w:rPr>
        <w:t>”。</w:t>
      </w:r>
    </w:p>
    <w:p>
      <w:pPr>
        <w:pStyle w:val="14"/>
        <w:framePr w:wrap="auto" w:vAnchor="margin" w:hAnchor="text" w:yAlign="inline"/>
        <w:ind w:firstLine="640" w:firstLineChars="200"/>
        <w:rPr>
          <w:rFonts w:hint="eastAsia" w:ascii="仿宋" w:hAnsi="仿宋" w:eastAsia="仿宋" w:cs="仿宋"/>
          <w:strike w:val="0"/>
          <w:dstrike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该部门管理体系相对完善，完成部分绩效目标，履职效果较好。扣分的原因主要是：在预算编制方面，存在部分项目绩效指标设置不够规范、目标设置不清晰、没有根据客观情况设置个性化指标值的情况；预算调整率较高，预算编制的准确性有待提高。在预算执行方面，财务合规性不足，存在晚于合同约定时间付款且没有签订相关补充协议的问题；项目监管不到位，对专项资金和专项经费的使用情况以及项目实施进度较少开展定期或不定期检查。在内控制度方面，业务督导落实不到位，关键岗位轮岗制度不完善，风险点识别和应对能力不足。</w:t>
      </w:r>
      <w:r>
        <w:rPr>
          <w:rFonts w:hint="eastAsia" w:ascii="仿宋" w:hAnsi="仿宋" w:eastAsia="仿宋" w:cs="仿宋"/>
          <w:strike w:val="0"/>
          <w:dstrike w:val="0"/>
          <w:color w:val="auto"/>
          <w:sz w:val="32"/>
          <w:szCs w:val="32"/>
          <w:highlight w:val="none"/>
          <w:lang w:val="en-US" w:eastAsia="zh-CN"/>
        </w:rPr>
        <w:t>在具体工作任务完成方面，部分工作任务，如功能区培训项目、“一网统管”项目、“数字政府”项目等因疫情或外部不确定因素未完成当年绩效目标。</w:t>
      </w:r>
    </w:p>
    <w:p>
      <w:pPr>
        <w:pStyle w:val="14"/>
        <w:framePr w:wrap="auto" w:vAnchor="margin" w:hAnchor="text" w:yAlign="inline"/>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2023年5月至7月</w:t>
      </w:r>
      <w:r>
        <w:rPr>
          <w:rFonts w:hint="eastAsia" w:ascii="仿宋" w:hAnsi="仿宋" w:eastAsia="仿宋" w:cs="仿宋"/>
          <w:color w:val="auto"/>
          <w:sz w:val="32"/>
          <w:szCs w:val="32"/>
          <w:highlight w:val="none"/>
          <w:lang w:val="en-US" w:eastAsia="zh-CN"/>
        </w:rPr>
        <w:t>，评价组对被评价单位提供的书面材料、原始档案进行审核。同时进行现场调研，并组织召开座谈会，分别与松山湖政务服务中心主任、编内在职人员、编外聘用人员、劳务派遣人员进行座谈。全面充分了解掌握松山湖政务服务中心项目具体开展情况，科学客观评价该单位财务资产管理、人力资源管理、项目管理、业务流程管理、履行职责业绩和效果等总体情况。根据座谈会了解的情况及项目受益群体分布特点，采取访谈、问卷调查、资料核查等方式进行现场评价，收集绩效评价证据，最终综合被评价单位书面材料审核、座谈会、现场勘查、实地访谈和问卷分析情况，形成本项目绩效评价结论。</w:t>
      </w:r>
    </w:p>
    <w:p>
      <w:pPr>
        <w:pStyle w:val="5"/>
        <w:framePr w:wrap="auto" w:vAnchor="margin" w:hAnchor="text" w:yAlign="inline"/>
        <w:numPr>
          <w:ilvl w:val="0"/>
          <w:numId w:val="3"/>
        </w:numPr>
        <w:spacing w:before="0" w:after="0" w:line="600" w:lineRule="exact"/>
        <w:ind w:left="0" w:leftChars="0" w:firstLine="200" w:firstLineChars="0"/>
        <w:rPr>
          <w:rFonts w:hint="eastAsia" w:ascii="楷体" w:hAnsi="楷体" w:eastAsia="楷体" w:cs="楷体"/>
          <w:b/>
          <w:bCs/>
          <w:color w:val="auto"/>
          <w:sz w:val="32"/>
          <w:szCs w:val="32"/>
          <w:highlight w:val="none"/>
          <w:lang w:val="en-US" w:eastAsia="zh-CN"/>
        </w:rPr>
      </w:pPr>
      <w:bookmarkStart w:id="8" w:name="_Toc32516"/>
      <w:r>
        <w:rPr>
          <w:rFonts w:hint="eastAsia" w:ascii="Times New Roman" w:hAnsi="Times New Roman" w:eastAsia="楷体" w:cs="Times New Roman"/>
          <w:b/>
          <w:bCs/>
          <w:color w:val="auto"/>
          <w:kern w:val="0"/>
          <w:sz w:val="32"/>
          <w:szCs w:val="32"/>
          <w:highlight w:val="none"/>
          <w:lang w:val="en-US" w:eastAsia="zh-CN" w:bidi="ar-SA"/>
        </w:rPr>
        <w:t>主要绩效目标完成情况</w:t>
      </w:r>
      <w:bookmarkEnd w:id="8"/>
      <w:bookmarkStart w:id="9" w:name="_Toc815"/>
    </w:p>
    <w:p>
      <w:pPr>
        <w:pStyle w:val="5"/>
        <w:framePr w:wrap="auto" w:vAnchor="margin" w:hAnchor="text" w:yAlign="inline"/>
        <w:numPr>
          <w:ilvl w:val="0"/>
          <w:numId w:val="0"/>
        </w:numPr>
        <w:spacing w:before="0" w:after="0" w:line="600" w:lineRule="exact"/>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1.履行职责业绩目标部分完成</w:t>
      </w:r>
      <w:bookmarkEnd w:id="9"/>
    </w:p>
    <w:p>
      <w:pPr>
        <w:framePr w:wrap="auto" w:vAnchor="margin" w:hAnchor="text" w:yAlign="inline"/>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（1）完成部分预期数量目标</w:t>
      </w:r>
    </w:p>
    <w:p>
      <w:pPr>
        <w:framePr w:wrap="auto" w:vAnchor="margin" w:hAnchor="text" w:yAlign="inline"/>
        <w:spacing w:line="600" w:lineRule="exact"/>
        <w:ind w:firstLine="585" w:firstLineChars="18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数量指标满分为13分，绩效评价得分为10.5分，具体扣分情况如下：</w:t>
      </w:r>
    </w:p>
    <w:p>
      <w:pPr>
        <w:framePr w:wrap="auto" w:vAnchor="margin" w:hAnchor="text" w:yAlign="inline"/>
        <w:spacing w:line="600" w:lineRule="exact"/>
        <w:ind w:firstLine="585" w:firstLineChars="18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是维护服务大厅日常运行类工作任务基本完成预期数量目标。维护服务大厅日常运行类工作包括大厅维修工程项目、货物购置（含办公设备、服装制服、物资储备和专用设备）、支付服务大厅运营管理费用（含大厅保险、水电费补助、物业管理费、非经营性物业日常绿化/维护经费、其他专用设备运行维护经费）、基础设施服务项目（含云服务、网络线路租赁服务、托管服务）和运维服务项目（基础设施运行维护服务、软件系统运行维护服务）。大厅维修工程项目计划更换设施为49处，实际更换设施数为49处，工作任务完成率为100%；服务大厅运营管理费用支付完成率和网络线路服务月数完成率为100%。根据书面审查资料，其中货物购置（办公设备）和货物购置（服装制服）项目中实际购置货物数和计划购置货物相差较大。货物购置（办公设备）计划购买办公椅30张、办公桌20张、密码柜12个，实际购买沙发6张、办公椅42张；货物购置（服装制服）计划购买西装外套130件、西裤260条、西裙260条、长袖500件、短袖500件、马甲260件，实际购买西装外套226件、西裤427条、西裙55条、长袖492件、短袖458件、大衣9件，此处扣除1分。</w:t>
      </w:r>
    </w:p>
    <w:p>
      <w:pPr>
        <w:framePr w:wrap="auto" w:vAnchor="margin" w:hAnchor="text" w:yAlign="inline"/>
        <w:spacing w:line="600" w:lineRule="exact"/>
        <w:ind w:firstLine="585" w:firstLineChars="18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是政务提升类工作未能全部完成。政务提升类工作包括工作人员培训、营商环境创新改革项目、窗口法律咨询项目、导办台项目、邮政项目、园区电子政务云项目等。其中功能区培训工作未完成，因此扣除0.5分。2022年功能区培训人次为45人，低于预期指标值，主要原因是：根据项目服务要求，2022年8月-2023年5月应每月举办一期功能区培训，因疫情原因，2022年仅开展了功能区培训开班仪式及第一期培训活动。</w:t>
      </w:r>
    </w:p>
    <w:p>
      <w:pPr>
        <w:framePr w:wrap="auto" w:vAnchor="margin" w:hAnchor="text" w:yAlign="inline"/>
        <w:spacing w:line="600" w:lineRule="exact"/>
        <w:ind w:firstLine="585" w:firstLineChars="18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是宣传推广类工作全部完成。宣传推广类工作包括标准化服务之星项目、大厅宣传推广项目、网站和政务新媒体运维。2022年松山湖政务服务中心计划更新宣传标识数377个，实际更新宣传标识数377个，工作任务完成率为100%；计划开展“服务之星”评选次数2次，实际开展评选次数2次，工作任务完成率为100%；2022年9月-12月，松山湖市民中心公众号共发布指导性原创推文27.5条，转载加工推文11条，纯转载推文28条。</w:t>
      </w:r>
    </w:p>
    <w:p>
      <w:pPr>
        <w:framePr w:wrap="auto" w:vAnchor="margin" w:hAnchor="text" w:yAlign="inline"/>
        <w:spacing w:line="600" w:lineRule="exact"/>
        <w:ind w:firstLine="585" w:firstLineChars="183"/>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是专项服务类工作任务部分完成。该工作包括广东省均等化政务服务标准化试点建设项目、数字政府项目、一网统管试点项目和优才服务区项目。松山湖政务服务中心2022年制定《松山湖政务服务均等化标准化专项行动实施方案》，编制36项特色标准，标准化项目编制完成率100%，达到预期指标值。优才服务区项目工作任务完成率为100%。数字政府规划项目已完成《智慧松山湖调研总结和规划总体思路》《智慧松山湖建设三年行动计划（2022-2025）》《智慧松山湖顶层规划方案》相关规划方案设计，但由于项目内容须结合松山湖园区发展规划进行修改及调整，因此暂未完成项目验收。一网统管专题建设项目未完成，主要原因是由于省和市现有数字政府公共支撑能力存在不确定因素，加上疫情等原因未能及时走出去学习先进经验，导致上会审定建设方案及招投标工作有所滞后，未能完成项目上会立项。因以上两个项目未完成，此处共扣除1分。</w:t>
      </w:r>
    </w:p>
    <w:p>
      <w:pPr>
        <w:framePr w:wrap="auto" w:vAnchor="margin" w:hAnchor="text" w:yAlign="inline"/>
        <w:numPr>
          <w:ilvl w:val="0"/>
          <w:numId w:val="4"/>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完成部分预期质量目标</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期质量目标主要设置了维护服务大厅日常运行工作质量达标率、政务提升工作质量达标率、宣传推广工作质量达标率、专项服务工作质量达标率进行评价。质量指标满分为11分，评价得分为10分，具体扣分情况如下:</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是维护服务大厅日常运行类工作质量基本符合要求。根据评价专家组审核天花板改造验收报告、卫生间翻新项目验收报告、办公设备验收报告、工作服验收报告、物资储备验收报告、专用设备验收报告、机房设备维护记录表、网络检查记录表等资料可知，大厅维修工程项目、货物购置（含办公设备、服装制服、物资储备和专用设备）、服务大厅运营管理（含大厅保险、水电费补助、物业管理费、非经营性物业日常绿化/维护经费、其他专用设备运行维护经费）、基础设施服务项目（含云服务、网络线路租赁服务、托管服务）和运维服务项目（基础设施运行维护服务、软件系统运行维护服务）等项目的完成质量基本符合要求。</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二是政务提升类工作完成质量较高。</w:t>
      </w:r>
      <w:r>
        <w:rPr>
          <w:rFonts w:hint="eastAsia" w:ascii="仿宋" w:hAnsi="仿宋" w:eastAsia="仿宋" w:cs="仿宋"/>
          <w:sz w:val="32"/>
          <w:szCs w:val="32"/>
          <w:highlight w:val="none"/>
          <w:lang w:val="en-US" w:eastAsia="zh-CN"/>
        </w:rPr>
        <w:t>2022年松山湖政务服务中心</w:t>
      </w:r>
      <w:r>
        <w:rPr>
          <w:rStyle w:val="15"/>
          <w:rFonts w:hint="eastAsia" w:ascii="仿宋" w:hAnsi="仿宋" w:eastAsia="仿宋" w:cs="仿宋"/>
          <w:sz w:val="32"/>
          <w:szCs w:val="32"/>
          <w:highlight w:val="none"/>
        </w:rPr>
        <w:t>组织松山湖功能区政务服务团队管理骨干</w:t>
      </w:r>
      <w:r>
        <w:rPr>
          <w:rStyle w:val="15"/>
          <w:rFonts w:hint="eastAsia" w:ascii="仿宋" w:hAnsi="仿宋" w:eastAsia="仿宋" w:cs="仿宋"/>
          <w:sz w:val="32"/>
          <w:szCs w:val="32"/>
          <w:highlight w:val="none"/>
          <w:lang w:eastAsia="zh-CN"/>
        </w:rPr>
        <w:t>开展</w:t>
      </w:r>
      <w:r>
        <w:rPr>
          <w:rStyle w:val="15"/>
          <w:rFonts w:hint="eastAsia" w:ascii="仿宋" w:hAnsi="仿宋" w:eastAsia="仿宋" w:cs="仿宋"/>
          <w:sz w:val="32"/>
          <w:szCs w:val="32"/>
          <w:highlight w:val="none"/>
        </w:rPr>
        <w:t>能力提升培训</w:t>
      </w:r>
      <w:r>
        <w:rPr>
          <w:rStyle w:val="15"/>
          <w:rFonts w:hint="eastAsia" w:ascii="仿宋" w:hAnsi="仿宋" w:eastAsia="仿宋" w:cs="仿宋"/>
          <w:sz w:val="32"/>
          <w:szCs w:val="32"/>
          <w:highlight w:val="none"/>
          <w:lang w:eastAsia="zh-CN"/>
        </w:rPr>
        <w:t>，有效提升功能区政务服务效能提升并进行培训效果考核，考核结果均合格。企业注册一窗通办服务质量达标率、法律窗口咨询服务质量达标率、导办台服务质量达标率、邮政服务质量达标率、专业软件验收合格率</w:t>
      </w:r>
      <w:r>
        <w:rPr>
          <w:rStyle w:val="15"/>
          <w:rFonts w:hint="eastAsia" w:ascii="仿宋" w:hAnsi="仿宋" w:eastAsia="仿宋" w:cs="仿宋"/>
          <w:sz w:val="32"/>
          <w:szCs w:val="32"/>
          <w:highlight w:val="none"/>
          <w:lang w:val="en-US" w:eastAsia="zh-CN"/>
        </w:rPr>
        <w:t>等均达到95%及以上。</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是宣传推广工作按质完成。据评价专家组审核被评价单位提供的宣传标识采购合同、宣传标识验收报告、标准化服务之星项目验收报告、松山湖市民中心服务号媒体运营项目验收报告等材料，可知宣传工作的完成质量符合目标要求。</w:t>
      </w:r>
    </w:p>
    <w:p>
      <w:pPr>
        <w:framePr w:wrap="auto" w:vAnchor="margin" w:hAnchor="text" w:yAlign="inline"/>
        <w:numPr>
          <w:ilvl w:val="0"/>
          <w:numId w:val="0"/>
        </w:numPr>
        <w:spacing w:line="60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四是</w:t>
      </w:r>
      <w:r>
        <w:rPr>
          <w:rFonts w:hint="default" w:ascii="仿宋" w:hAnsi="仿宋" w:eastAsia="仿宋" w:cs="仿宋"/>
          <w:color w:val="auto"/>
          <w:sz w:val="32"/>
          <w:szCs w:val="32"/>
          <w:highlight w:val="none"/>
          <w:lang w:val="en-US" w:eastAsia="zh-CN"/>
        </w:rPr>
        <w:t>除了</w:t>
      </w:r>
      <w:r>
        <w:rPr>
          <w:rFonts w:hint="eastAsia" w:ascii="仿宋" w:hAnsi="仿宋" w:eastAsia="仿宋" w:cs="仿宋"/>
          <w:color w:val="auto"/>
          <w:sz w:val="32"/>
          <w:szCs w:val="32"/>
          <w:highlight w:val="none"/>
          <w:lang w:val="en-US" w:eastAsia="zh-CN"/>
        </w:rPr>
        <w:t>数字政府项目须结合松山湖园区发展规划进行修改及调整而未完成验收工作，以及一网统管专题建设项目因外部不确定性未完成相关工作之外，其它专项服务类工作中均按质完成。由于上述两项工作未完成验收，所以此处扣除1分。</w:t>
      </w:r>
    </w:p>
    <w:p>
      <w:pPr>
        <w:framePr w:wrap="auto" w:vAnchor="margin" w:hAnchor="text" w:yAlign="inline"/>
        <w:numPr>
          <w:ilvl w:val="0"/>
          <w:numId w:val="4"/>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完成部分预期时效指标</w:t>
      </w:r>
    </w:p>
    <w:p>
      <w:pPr>
        <w:framePr w:wrap="auto" w:vAnchor="margin" w:hAnchor="text" w:yAlign="inline"/>
        <w:numPr>
          <w:ilvl w:val="0"/>
          <w:numId w:val="0"/>
        </w:numPr>
        <w:spacing w:line="600" w:lineRule="exact"/>
        <w:ind w:firstLine="640" w:firstLineChars="200"/>
        <w:rPr>
          <w:rFonts w:hint="eastAsia"/>
          <w:lang w:val="en-US" w:eastAsia="zh-CN"/>
        </w:rPr>
      </w:pPr>
      <w:r>
        <w:rPr>
          <w:rFonts w:hint="eastAsia" w:ascii="仿宋" w:hAnsi="仿宋" w:eastAsia="仿宋" w:cs="仿宋"/>
          <w:color w:val="auto"/>
          <w:sz w:val="32"/>
          <w:szCs w:val="32"/>
          <w:highlight w:val="none"/>
          <w:lang w:val="en-US" w:eastAsia="zh-CN"/>
        </w:rPr>
        <w:t>时效指标满分为4分，评价得分为2分，具体扣分情况为:根据被评价单位提供的2022年松山湖政务服务中心各项工作完成时间统计表可知，被评价单位2022年完成了大部分预期时效指标。但是，2022年未完成数字政府项目的验收工作，未开展一网统管试点项目，同时，因为疫情原因，功能区培训项目2022年开展的次数减少，以及广东省均等化政务服务标准化试点建设未完成中期验收。四个项目完成时间滞后于预期时间，共扣除2分。</w:t>
      </w:r>
    </w:p>
    <w:p>
      <w:pPr>
        <w:framePr w:wrap="auto" w:vAnchor="margin" w:hAnchor="text" w:yAlign="inline"/>
        <w:numPr>
          <w:ilvl w:val="0"/>
          <w:numId w:val="0"/>
        </w:numPr>
        <w:spacing w:line="600" w:lineRule="exact"/>
        <w:outlineLvl w:val="2"/>
        <w:rPr>
          <w:rFonts w:hint="eastAsia" w:ascii="楷体" w:hAnsi="楷体" w:eastAsia="楷体" w:cs="楷体"/>
          <w:b/>
          <w:bCs/>
          <w:color w:val="auto"/>
          <w:sz w:val="32"/>
          <w:szCs w:val="32"/>
          <w:highlight w:val="none"/>
          <w:lang w:val="en-US" w:eastAsia="zh-CN"/>
        </w:rPr>
      </w:pPr>
      <w:bookmarkStart w:id="10" w:name="_Toc7813"/>
      <w:r>
        <w:rPr>
          <w:rFonts w:hint="eastAsia" w:ascii="楷体" w:hAnsi="楷体" w:eastAsia="楷体" w:cs="楷体"/>
          <w:b/>
          <w:bCs/>
          <w:color w:val="auto"/>
          <w:sz w:val="32"/>
          <w:szCs w:val="32"/>
          <w:highlight w:val="none"/>
          <w:lang w:val="en-US" w:eastAsia="zh-CN"/>
        </w:rPr>
        <w:t>2.履行职责效果目标大部分实现</w:t>
      </w:r>
      <w:bookmarkEnd w:id="10"/>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效果指标、目标满意度指标和可持续影响指标满分为15分，评价得分为15分，具体情况如下：</w:t>
      </w:r>
    </w:p>
    <w:p>
      <w:pPr>
        <w:framePr w:wrap="auto" w:vAnchor="margin" w:hAnchor="text" w:yAlign="inline"/>
        <w:numPr>
          <w:ilvl w:val="0"/>
          <w:numId w:val="0"/>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（1）梳理行政审批事项，提高业务办理效率</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2022年松山湖政务服务中心积极协调城建局、人社分局、宣社局等多个职能部门成功梳理284项行政审批事项进驻市民中心政务大厅，深入推进行政审批事项一门集中，不断提升行政效能。</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lang w:eastAsia="zh-CN"/>
        </w:rPr>
        <w:t>受新冠肺炎疫情影响，政务</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lang w:eastAsia="zh-CN"/>
        </w:rPr>
        <w:t>大厅实施全预约制度，减少大厅线下办理业务人次，但同时引导办事群众采取线上办理、不见面审批、莞家政务自助机等多渠道进行业务办理。经不完全统计，中心</w:t>
      </w:r>
      <w:r>
        <w:rPr>
          <w:rFonts w:hint="eastAsia" w:ascii="仿宋" w:hAnsi="仿宋" w:eastAsia="仿宋" w:cs="仿宋"/>
          <w:sz w:val="32"/>
          <w:szCs w:val="32"/>
          <w:highlight w:val="none"/>
          <w:lang w:val="en-US" w:eastAsia="zh-CN"/>
        </w:rPr>
        <w:t>2022年全年业务办理人次约56万人。</w:t>
      </w:r>
    </w:p>
    <w:p>
      <w:pPr>
        <w:framePr w:wrap="auto" w:vAnchor="margin" w:hAnchor="text" w:yAlign="inline"/>
        <w:numPr>
          <w:ilvl w:val="0"/>
          <w:numId w:val="0"/>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（2）推出“一窗通办”业务，提升企业开办效率</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松山湖政务服务中心在2020年启动“松湖启航包”，实现重点企业“拎包入驻”基础上，联合市场监督管理分局，全面启动企业注册“一窗通办”业务。通过增设三个“一窗通办”窗口，指定人员担任优质企业服务专员，主动为松山湖辖区内新登记注册的所有市场主体，提供企业开办导询、套餐式帮办服务。申请人可在一个窗口、一次提交企业开办所有资料（包括市场监管、税务、公安、银行等部门的审批资料），实现企业设立登记、印章刻制备案、发票、税盘申领等事项一次提交、同步办理、限时办结、一窗领取。2022年，一窗通办服务接待3170人次，成功受理719宗。</w:t>
      </w:r>
    </w:p>
    <w:p>
      <w:pPr>
        <w:framePr w:wrap="auto" w:vAnchor="margin" w:hAnchor="text" w:yAlign="inline"/>
        <w:numPr>
          <w:ilvl w:val="0"/>
          <w:numId w:val="0"/>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（3）创新首贷服务新模式，推行政策兑现集成智办</w:t>
      </w:r>
    </w:p>
    <w:p>
      <w:pPr>
        <w:framePr w:wrap="auto" w:vAnchor="margin" w:hAnchor="text" w:yAlign="inline"/>
        <w:spacing w:line="60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推进“放管服”改革，进一步完善小微企业和个体工商户融资服务长效机制，助力开展“小微企业融资易”攻坚行动，松山湖市民中心大厅新增“首贷服务”窗口，结合原有“一窗通办”窗口，进一步完善新注册企业的服务配套。“首贷服务”窗口将了解来询企业是否为首贷，融资需求，贷款用途，意向银行等情况，收集企业基本信息，协助企业通过官方平台发布融资需求，由意向银行受理对接，为小微企业和个体工商户提供一站式服务。</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针对市场主体受疫情冲击经营困难的情况，松山湖政务服务中心第一时间推行政策兑现集成智办的工作计划，承接市政策兑现集成智办的试点任务，以松山湖官网政策申报平台为基础，快速上线市场主体纾困、租金减免和融资担保贷款贴息等一系列支持政策，通过简化政策兑现申报流程，实现“线上一网通办、线下一窗受理”快速兑付政策，为企业群众送上纾困“及时雨”。2022年政策申报系统配置和上线市场监督管理分局、控股公司、产业发展局、科技教育局相关政策共23项，接收企业网上申报2420次，审批通过业务1895笔。</w:t>
      </w:r>
    </w:p>
    <w:p>
      <w:pPr>
        <w:framePr w:wrap="auto" w:vAnchor="margin" w:hAnchor="text" w:yAlign="inline"/>
        <w:numPr>
          <w:ilvl w:val="0"/>
          <w:numId w:val="0"/>
        </w:numPr>
        <w:spacing w:line="6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（4）开办主题特色分厅，创新政务服务“走一线”</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加快构建“10分钟政务服务圈”，积极推进政务服务下沉科技研发载体，2022年5月中心在松山湖南部正式启用南湖湾分厅及中集智谷分厅，为两个产业园区内300多家高新企业、30余个龙头企业研发中心、高成长性科技项目提供政务咨询、财税服务等多项服务。分厅建设采取政府指导，产业园自主运营，政企合作共建的新模式。结合产业园特性，分厅个性化推出特色服务、动态调整开放业务类别及办事窗口数量，铺设“莞家政务”自助终端，以及共享市民中心推出的企业注册一窗通、政务包邮到家、政策集成智办服务等免费服务举措，实现效能最大化，致力构建“一个中心、多个支点”政务服务体系。</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深入政务服务第一线查实情、找差距，满足企业和群众多元化办事需求，松山湖政务服务中心积极开展政务服务“走一线”工作，用实际行动优化窗口服务、解决群众实际困难。一是开展“一把手走窗口”活动，通过“亲身办”“陪同办”等形式，园区12个政务服务实施部门主要领导轮流到综合业务窗口体验自身部门的办事流程和政策，开展“全流程”“零距离”办事检验，换位体验办事人员与企业群众在办事方面的最真实感受，研究服务优化的措施办法，为进一步优化营商环境、精细服务市场主体找准路径。二是设立莞家“办不成事”反映窗口。窗口专员负责接待群众来访、听取群众意见、受理群众诉求，并全程跟踪督办。结合群众诉求热点，提供政策解读、咨询投诉等兜底服务，有针对性的解决“疑难杂症”。2022年，共收集办事堵点事项76项，已清除扎堆排队、业务办理不通畅等堵点问题76项。莞家“办不成事”反映窗口共接待市民87人次，热线电话30宗，平均受理时长6分钟，办结率达100%。</w:t>
      </w:r>
    </w:p>
    <w:p>
      <w:pPr>
        <w:framePr w:wrap="auto" w:vAnchor="margin" w:hAnchor="text" w:yAlign="inline"/>
        <w:spacing w:line="600" w:lineRule="exact"/>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（5）信息化改造初见成效，</w:t>
      </w:r>
      <w:r>
        <w:rPr>
          <w:rFonts w:hint="eastAsia" w:ascii="仿宋" w:hAnsi="仿宋" w:eastAsia="仿宋" w:cs="仿宋"/>
          <w:sz w:val="32"/>
          <w:szCs w:val="32"/>
          <w:highlight w:val="none"/>
          <w:lang w:eastAsia="zh-CN"/>
        </w:rPr>
        <w:t>标准化体系建设</w:t>
      </w:r>
      <w:r>
        <w:rPr>
          <w:rFonts w:hint="eastAsia" w:ascii="仿宋" w:hAnsi="仿宋" w:eastAsia="仿宋" w:cs="仿宋"/>
          <w:sz w:val="32"/>
          <w:szCs w:val="32"/>
          <w:highlight w:val="none"/>
          <w:lang w:val="en-US" w:eastAsia="zh-CN"/>
        </w:rPr>
        <w:t>完成</w:t>
      </w:r>
    </w:p>
    <w:p>
      <w:pPr>
        <w:framePr w:wrap="auto" w:vAnchor="margin" w:hAnchor="text" w:yAlign="inline"/>
        <w:spacing w:line="600" w:lineRule="exact"/>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lang w:val="en-US" w:eastAsia="zh-CN"/>
        </w:rPr>
        <w:t>松山湖政务服务中心依托数字化大厅系统，开展信息化改造项目，形成一体化的“互联网+”政务服务，有效支撑政务服务工作。同时，松山湖政务服务</w:t>
      </w:r>
      <w:r>
        <w:rPr>
          <w:rFonts w:hint="eastAsia" w:ascii="仿宋" w:hAnsi="仿宋" w:eastAsia="仿宋" w:cs="仿宋"/>
          <w:sz w:val="32"/>
          <w:szCs w:val="32"/>
          <w:highlight w:val="none"/>
          <w:lang w:eastAsia="zh-CN"/>
        </w:rPr>
        <w:t>中心积极推进政务服务标准化体系建设，完成</w:t>
      </w:r>
      <w:r>
        <w:rPr>
          <w:rFonts w:hint="eastAsia" w:ascii="仿宋" w:hAnsi="仿宋" w:eastAsia="仿宋" w:cs="仿宋"/>
          <w:snapToGrid/>
          <w:color w:val="000000" w:themeColor="text1"/>
          <w:kern w:val="2"/>
          <w:sz w:val="32"/>
          <w:szCs w:val="32"/>
          <w:highlight w:val="none"/>
          <w14:textFill>
            <w14:solidFill>
              <w14:schemeClr w14:val="tx1"/>
            </w14:solidFill>
          </w14:textFill>
        </w:rPr>
        <w:t>编制36项特色标准，启动</w:t>
      </w:r>
      <w:r>
        <w:rPr>
          <w:rFonts w:hint="eastAsia" w:ascii="仿宋" w:hAnsi="仿宋" w:eastAsia="仿宋" w:cs="仿宋"/>
          <w:color w:val="000000" w:themeColor="text1"/>
          <w:sz w:val="32"/>
          <w:szCs w:val="32"/>
          <w:highlight w:val="none"/>
          <w:lang w:val="zh-TW"/>
          <w14:textFill>
            <w14:solidFill>
              <w14:schemeClr w14:val="tx1"/>
            </w14:solidFill>
          </w14:textFill>
        </w:rPr>
        <w:t>场地标准化、窗口团队培养标准化等方面建设工作</w:t>
      </w:r>
      <w:r>
        <w:rPr>
          <w:rFonts w:hint="eastAsia" w:ascii="仿宋" w:hAnsi="仿宋" w:eastAsia="仿宋" w:cs="仿宋"/>
          <w:color w:val="000000" w:themeColor="text1"/>
          <w:sz w:val="32"/>
          <w:szCs w:val="32"/>
          <w:highlight w:val="none"/>
          <w:lang w:val="zh-TW" w:eastAsia="zh-CN"/>
          <w14:textFill>
            <w14:solidFill>
              <w14:schemeClr w14:val="tx1"/>
            </w14:solidFill>
          </w14:textFill>
        </w:rPr>
        <w:t>，</w:t>
      </w:r>
      <w:r>
        <w:rPr>
          <w:rFonts w:hint="eastAsia" w:ascii="仿宋" w:hAnsi="仿宋" w:eastAsia="仿宋" w:cs="仿宋"/>
          <w:sz w:val="32"/>
          <w:szCs w:val="32"/>
          <w:highlight w:val="none"/>
          <w:lang w:eastAsia="zh-CN"/>
        </w:rPr>
        <w:t>促进政务服务标准化、标准数字化、考核可量化。</w:t>
      </w:r>
    </w:p>
    <w:p>
      <w:pPr>
        <w:framePr w:wrap="auto" w:vAnchor="margin" w:hAnchor="text" w:yAlign="inline"/>
        <w:spacing w:line="600" w:lineRule="exact"/>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政务服务工作落实较好，有一定的示范作用</w:t>
      </w:r>
    </w:p>
    <w:p>
      <w:pPr>
        <w:framePr w:wrap="auto" w:vAnchor="margin" w:hAnchor="text" w:yAlign="inline"/>
        <w:spacing w:line="600" w:lineRule="exact"/>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松山湖政务服务中心2022年受投诉次数为3次，与去年相比减少1次投诉，工作人员获得市民表扬次数为10次，较去年增加2次。2022年开展人力资源和社会保障分局业务入综合窗口工作，共办理业务1350件，其中获得“非常满意”评价737次，人社入综窗业务好评率为99.93%。此外，松山湖政务服务中心2022年获得多次市级以上荣誉，如，2022年1月，被东莞市妇女联合会授予“东莞市‘巾帼文明岗’”称号、“东莞市‘三八红旗集体’”称号；2022年1月，被东莞市政务服务数据管理局评为“2021年度东莞市‘群众最喜爱政务服务大厅’”称号；2022年11月，松山湖市民中心荣获“东莞市政务服务综合窗口技能大赛”三等奖；2022年12月，在“奋进新征程 建功新时代”2022年度东莞政务服务之星及数字政府改革建设优秀案例评选活动中松山湖政务服务中心荣获2022年度政务服务能力优秀园区等。</w:t>
      </w:r>
    </w:p>
    <w:p>
      <w:pPr>
        <w:framePr w:wrap="auto" w:vAnchor="margin" w:hAnchor="text" w:yAlign="inline"/>
        <w:spacing w:line="600" w:lineRule="exact"/>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（7）目标群体满意度较高</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①社会公众满意度</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根据松山湖政务服务中心2022年度项目群众满意度52份问卷调查结果，社会公众对于松山湖政务服务中心业务办理满意度、便民服务设施满意度、工作人员的满意度、信息公开满意度、整体环境满意度均大于等于9.5分（满分10分）。根据松山湖政务服务中心提供的证明材料可知，2022年度松山湖政务服务中心没有发生重大安全事故而受到监管部门通报和媒体负面报道的情况、未发现</w:t>
      </w:r>
      <w:r>
        <w:rPr>
          <w:rFonts w:hint="eastAsia" w:ascii="仿宋" w:hAnsi="仿宋" w:eastAsia="仿宋" w:cs="仿宋"/>
          <w:color w:val="auto"/>
          <w:sz w:val="32"/>
          <w:szCs w:val="32"/>
          <w:highlight w:val="none"/>
        </w:rPr>
        <w:t>工作人员或单位未按规定履行职责和被有关部门处罚通报批评的情况</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有</w:t>
      </w:r>
      <w:r>
        <w:rPr>
          <w:rFonts w:hint="eastAsia" w:ascii="仿宋" w:hAnsi="仿宋" w:eastAsia="仿宋" w:cs="仿宋"/>
          <w:sz w:val="32"/>
          <w:szCs w:val="32"/>
          <w:highlight w:val="none"/>
          <w:lang w:val="en-US" w:eastAsia="zh-CN"/>
        </w:rPr>
        <w:t>关政务服务工作的投诉较少，且能够及时进行处理。</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②政务服务中心工作人员满意度</w:t>
      </w:r>
    </w:p>
    <w:p>
      <w:pPr>
        <w:framePr w:wrap="auto" w:vAnchor="margin" w:hAnchor="text" w:yAlign="inline"/>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通过61份调查问卷可知，在松山湖政务服务中心工作人员满意度评价中，均值最高的是“标准化服务之星评比过程的公平性”，达到9.95分（满分10分，下同）；其次是“办公环境舒适度”“培训时间安排的合理性”“标准化服务之星评比结果的满意度”，均值都为9.90分；而均值最低的是“培训课程内容安排的合理性”，为9.84分；政务服务中心工作人员对“政务服务中心整体满意度”为9.92分。由此可知，松山湖政务服务中心工作人员的满意度较高。</w:t>
      </w:r>
    </w:p>
    <w:p>
      <w:pPr>
        <w:framePr w:wrap="auto" w:vAnchor="margin" w:hAnchor="text" w:yAlign="inline"/>
        <w:numPr>
          <w:ilvl w:val="0"/>
          <w:numId w:val="0"/>
        </w:numPr>
        <w:ind w:leftChars="0"/>
        <w:outlineLvl w:val="9"/>
        <w:rPr>
          <w:rFonts w:hint="eastAsia" w:eastAsia="黑体" w:cs="Times New Roman"/>
          <w:b/>
          <w:bCs/>
          <w:color w:val="auto"/>
          <w:kern w:val="44"/>
          <w:sz w:val="32"/>
          <w:szCs w:val="32"/>
          <w:highlight w:val="none"/>
          <w:lang w:val="en-US" w:eastAsia="zh-CN" w:bidi="ar-SA"/>
        </w:rPr>
      </w:pPr>
    </w:p>
    <w:p>
      <w:pPr>
        <w:framePr w:wrap="auto" w:vAnchor="margin" w:hAnchor="text" w:yAlign="inline"/>
        <w:numPr>
          <w:ilvl w:val="0"/>
          <w:numId w:val="0"/>
        </w:numPr>
        <w:ind w:leftChars="0"/>
        <w:outlineLvl w:val="0"/>
        <w:rPr>
          <w:rFonts w:hint="eastAsia" w:ascii="Times New Roman" w:hAnsi="Times New Roman" w:eastAsia="黑体" w:cs="Times New Roman"/>
          <w:b/>
          <w:bCs/>
          <w:color w:val="auto"/>
          <w:kern w:val="44"/>
          <w:sz w:val="32"/>
          <w:szCs w:val="32"/>
          <w:highlight w:val="none"/>
          <w:lang w:val="en-US" w:eastAsia="zh-CN" w:bidi="ar-SA"/>
        </w:rPr>
      </w:pPr>
      <w:bookmarkStart w:id="11" w:name="_Toc6191"/>
      <w:r>
        <w:rPr>
          <w:rFonts w:hint="eastAsia" w:eastAsia="黑体" w:cs="Times New Roman"/>
          <w:b/>
          <w:bCs/>
          <w:color w:val="auto"/>
          <w:kern w:val="44"/>
          <w:sz w:val="32"/>
          <w:szCs w:val="32"/>
          <w:highlight w:val="none"/>
          <w:lang w:val="en-US" w:eastAsia="zh-CN" w:bidi="ar-SA"/>
        </w:rPr>
        <w:t>三、</w:t>
      </w:r>
      <w:r>
        <w:rPr>
          <w:rFonts w:hint="eastAsia" w:ascii="Times New Roman" w:hAnsi="Times New Roman" w:eastAsia="黑体" w:cs="Times New Roman"/>
          <w:b/>
          <w:bCs/>
          <w:color w:val="auto"/>
          <w:kern w:val="44"/>
          <w:sz w:val="32"/>
          <w:szCs w:val="32"/>
          <w:highlight w:val="none"/>
          <w:lang w:val="en-US" w:eastAsia="zh-CN" w:bidi="ar-SA"/>
        </w:rPr>
        <w:t>绩效管理问题与建议</w:t>
      </w:r>
      <w:bookmarkEnd w:id="11"/>
    </w:p>
    <w:p>
      <w:pPr>
        <w:pStyle w:val="5"/>
        <w:framePr w:wrap="auto" w:vAnchor="margin" w:hAnchor="text" w:yAlign="inline"/>
        <w:numPr>
          <w:ilvl w:val="0"/>
          <w:numId w:val="0"/>
        </w:numPr>
        <w:spacing w:before="0" w:after="0" w:line="600" w:lineRule="exact"/>
        <w:rPr>
          <w:rFonts w:hint="eastAsia" w:ascii="Times New Roman" w:hAnsi="Times New Roman" w:eastAsia="楷体" w:cs="Times New Roman"/>
          <w:color w:val="auto"/>
          <w:highlight w:val="none"/>
          <w:lang w:val="en-US" w:eastAsia="zh-CN"/>
        </w:rPr>
      </w:pPr>
      <w:bookmarkStart w:id="12" w:name="_Toc16034"/>
      <w:r>
        <w:rPr>
          <w:rFonts w:hint="eastAsia" w:ascii="Times New Roman" w:hAnsi="Times New Roman" w:eastAsia="楷体" w:cs="Times New Roman"/>
          <w:color w:val="auto"/>
          <w:highlight w:val="none"/>
          <w:lang w:val="en-US" w:eastAsia="zh-CN"/>
        </w:rPr>
        <w:t>（一）绩效管理问题</w:t>
      </w:r>
      <w:bookmarkEnd w:id="12"/>
    </w:p>
    <w:p>
      <w:pPr>
        <w:pStyle w:val="14"/>
        <w:framePr w:wrap="auto" w:vAnchor="margin" w:hAnchor="text" w:yAlign="inline"/>
        <w:ind w:left="0" w:leftChars="0" w:firstLine="0" w:firstLineChars="0"/>
        <w:outlineLvl w:val="2"/>
        <w:rPr>
          <w:rFonts w:hint="default" w:ascii="Times New Roman" w:hAnsi="Times New Roman" w:eastAsia="楷体" w:cs="Times New Roman"/>
          <w:b/>
          <w:bCs/>
          <w:color w:val="auto"/>
          <w:kern w:val="2"/>
          <w:sz w:val="32"/>
          <w:szCs w:val="32"/>
          <w:highlight w:val="none"/>
          <w:lang w:val="en-US" w:eastAsia="zh-CN" w:bidi="ar-SA"/>
        </w:rPr>
      </w:pPr>
      <w:bookmarkStart w:id="13" w:name="_Toc28074"/>
      <w:r>
        <w:rPr>
          <w:rFonts w:hint="eastAsia" w:ascii="Times New Roman" w:hAnsi="Times New Roman" w:eastAsia="楷体" w:cs="Times New Roman"/>
          <w:b/>
          <w:bCs/>
          <w:color w:val="auto"/>
          <w:kern w:val="2"/>
          <w:sz w:val="32"/>
          <w:szCs w:val="32"/>
          <w:highlight w:val="none"/>
          <w:lang w:val="en-US" w:eastAsia="zh-CN" w:bidi="ar-SA"/>
        </w:rPr>
        <w:t>1.在预算编制方面，</w:t>
      </w:r>
      <w:r>
        <w:rPr>
          <w:rFonts w:hint="eastAsia" w:eastAsia="楷体" w:cs="Times New Roman"/>
          <w:b/>
          <w:bCs/>
          <w:color w:val="auto"/>
          <w:kern w:val="2"/>
          <w:sz w:val="32"/>
          <w:szCs w:val="32"/>
          <w:highlight w:val="none"/>
          <w:lang w:val="en-US" w:eastAsia="zh-CN" w:bidi="ar-SA"/>
        </w:rPr>
        <w:t>指标设置不规范且</w:t>
      </w:r>
      <w:r>
        <w:rPr>
          <w:rFonts w:hint="eastAsia" w:ascii="Times New Roman" w:hAnsi="Times New Roman" w:eastAsia="楷体" w:cs="Times New Roman"/>
          <w:b/>
          <w:bCs/>
          <w:color w:val="auto"/>
          <w:kern w:val="2"/>
          <w:sz w:val="32"/>
          <w:szCs w:val="32"/>
          <w:highlight w:val="none"/>
          <w:lang w:val="en-US" w:eastAsia="zh-CN" w:bidi="ar-SA"/>
        </w:rPr>
        <w:t>预算编制准确性有待提高</w:t>
      </w:r>
      <w:bookmarkEnd w:id="13"/>
    </w:p>
    <w:p>
      <w:pPr>
        <w:framePr w:wrap="auto" w:vAnchor="margin" w:hAnchor="text" w:yAlign="inline"/>
        <w:spacing w:line="600" w:lineRule="exact"/>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（1）部分项目绩效指标设置不够规范</w:t>
      </w:r>
    </w:p>
    <w:p>
      <w:pPr>
        <w:pStyle w:val="14"/>
        <w:framePr w:wrap="auto" w:vAnchor="margin" w:hAnchor="text" w:yAlign="inline"/>
        <w:ind w:left="0"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预算编制和目标设置指标的满分为16分，评价得分为14分，具体扣分情况如下:</w:t>
      </w:r>
    </w:p>
    <w:p>
      <w:pPr>
        <w:pStyle w:val="14"/>
        <w:framePr w:wrap="auto" w:vAnchor="margin" w:hAnchor="text" w:yAlign="inline"/>
        <w:ind w:left="0"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首先，部分项目设置的绩效目标不够清晰，未能在数量指标上进行清晰表述，未能细化指标。例如，广东省均等化政务服务标准化试点建设项目的数量指标为“标准化项目编制”；标准化服务之星项目的数量指标为“项目开展完成率”。同时部分项目的效果指标没有进行量化，设定的绩效指标无法全面完整地反映和考核项目取得的社会效益情况，如标准化服务之星项目的社会效益指标为“对政务服务氛围提升度”指标值为“有效提升”；窗口法律咨询项目的社会效益指标为“提供更好的服务打造国际化营商环境”指标值为“有效提供”；一网统管试点项目的社会效益指标为“有效推进部门职能发挥”指标值为“有效推进”；政务大厅工作人员培训项目的社会效益指标为“培训达到预期”指标值为“达到预期”等。因此绩效目标和绩效指标设置的科学性欠缺，此处扣除1分。</w:t>
      </w:r>
    </w:p>
    <w:p>
      <w:pPr>
        <w:pStyle w:val="14"/>
        <w:framePr w:wrap="auto" w:vAnchor="margin" w:hAnchor="text" w:yAlign="inline"/>
        <w:ind w:left="0"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次，部分项目的指标值没有进行个性化设置。例如，货物购置类项目（办公设备购置）产出指标“设备采购及时率”“预算执行率”，效益指标“设施设备利用率”“设备使用人员满意度”和满意度指标“设施设备使用人员满意度”“办公家具使用满意程度”的指标值均为“≥90％”，没有根据各项指标的实际情况，设置个性化指标值。此外，也没有提供计算公式或衡量方法，未提供此类指标值的测算依据，缺少相关佐证材料，被评单位绩效目标准确性与绩效指标值设置的科学性存在不足，此处扣除1分。</w:t>
      </w:r>
    </w:p>
    <w:p>
      <w:pPr>
        <w:pStyle w:val="14"/>
        <w:framePr w:wrap="auto" w:vAnchor="margin" w:hAnchor="text" w:yAlign="inline"/>
        <w:numPr>
          <w:ilvl w:val="0"/>
          <w:numId w:val="0"/>
        </w:numPr>
        <w:outlineLvl w:val="2"/>
        <w:rPr>
          <w:rFonts w:hint="eastAsia" w:ascii="Times New Roman" w:hAnsi="Times New Roman" w:eastAsia="楷体" w:cs="Times New Roman"/>
          <w:b/>
          <w:bCs/>
          <w:color w:val="auto"/>
          <w:kern w:val="2"/>
          <w:sz w:val="32"/>
          <w:szCs w:val="32"/>
          <w:highlight w:val="none"/>
          <w:lang w:val="en-US" w:eastAsia="zh-CN" w:bidi="ar-SA"/>
        </w:rPr>
      </w:pPr>
      <w:bookmarkStart w:id="14" w:name="_Toc9053"/>
      <w:r>
        <w:rPr>
          <w:rFonts w:hint="eastAsia" w:eastAsia="楷体" w:cs="Times New Roman"/>
          <w:b/>
          <w:bCs/>
          <w:color w:val="auto"/>
          <w:kern w:val="2"/>
          <w:sz w:val="32"/>
          <w:szCs w:val="32"/>
          <w:highlight w:val="none"/>
          <w:lang w:val="en-US" w:eastAsia="zh-CN" w:bidi="ar-SA"/>
        </w:rPr>
        <w:t>2.</w:t>
      </w:r>
      <w:r>
        <w:rPr>
          <w:rFonts w:hint="eastAsia" w:ascii="Times New Roman" w:hAnsi="Times New Roman" w:eastAsia="楷体" w:cs="Times New Roman"/>
          <w:b/>
          <w:bCs/>
          <w:color w:val="auto"/>
          <w:kern w:val="2"/>
          <w:sz w:val="32"/>
          <w:szCs w:val="32"/>
          <w:highlight w:val="none"/>
          <w:lang w:val="en-US" w:eastAsia="zh-CN" w:bidi="ar-SA"/>
        </w:rPr>
        <w:t>在预算执行方面，财务合规性不足</w:t>
      </w:r>
      <w:r>
        <w:rPr>
          <w:rFonts w:hint="eastAsia" w:eastAsia="楷体" w:cs="Times New Roman"/>
          <w:b/>
          <w:bCs/>
          <w:color w:val="auto"/>
          <w:kern w:val="2"/>
          <w:sz w:val="32"/>
          <w:szCs w:val="32"/>
          <w:highlight w:val="none"/>
          <w:lang w:val="en-US" w:eastAsia="zh-CN" w:bidi="ar-SA"/>
        </w:rPr>
        <w:t>和项目监管不到位</w:t>
      </w:r>
      <w:bookmarkEnd w:id="14"/>
    </w:p>
    <w:p>
      <w:pPr>
        <w:framePr w:wrap="auto" w:vAnchor="margin" w:hAnchor="text" w:yAlign="inline"/>
        <w:spacing w:line="60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部门预算执行主要可在资金管理、项目管理和资产管理等方面得以体现。资金管理、项目管理和资产管理对应的指标满分为15分、8分和5分，对应的得分为11.5分、6.5分和5分，具体扣分情况如下：</w:t>
      </w:r>
    </w:p>
    <w:p>
      <w:pPr>
        <w:pStyle w:val="14"/>
        <w:framePr w:wrap="auto" w:vAnchor="margin" w:hAnchor="text" w:yAlign="inline"/>
        <w:numPr>
          <w:ilvl w:val="-1"/>
          <w:numId w:val="0"/>
        </w:num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（1）部分项目预算调整金额较大</w:t>
      </w:r>
    </w:p>
    <w:p>
      <w:pPr>
        <w:pStyle w:val="14"/>
        <w:framePr w:wrap="auto" w:vAnchor="margin" w:hAnchor="text" w:yAlign="inline"/>
        <w:numPr>
          <w:ilvl w:val="-1"/>
          <w:numId w:val="0"/>
        </w:numPr>
        <w:ind w:left="0"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根据《松山湖政务服务中心部门整体支出绩效自评报告》和《关于征求&lt;松山湖政务服务中心部门整体绩效评价实施方案&gt;意见的复函》，可知松山湖政务服务中心2022年年初预算金额为3158.41万元，预算调整数为2052.61万元，调整后预算数为1105.80万元，预算调整率为64.99%。2022年功能区年初预算数为310万元，预算调整数为165万元，调整后预算数145万元，预算调整率为53.23%。预算调整金额较大。特别是广东省均等化政务服务标准化试点建设项目，预算数为300万元，预算调整数为165万元，预算调整率达到53.22%。由此可见，被评价单位对于部分项目预算编制前期考虑不充分，未能充分考虑各方面的影响因素，预算编制准确性不足，从而影响了整体的支出绩效。此处扣除2分，即不得分。</w:t>
      </w:r>
    </w:p>
    <w:p>
      <w:pPr>
        <w:pStyle w:val="14"/>
        <w:framePr w:wrap="auto" w:vAnchor="margin" w:hAnchor="text" w:yAlign="inline"/>
        <w:numPr>
          <w:ilvl w:val="-1"/>
          <w:numId w:val="0"/>
        </w:num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（2）财务合规性存在不足</w:t>
      </w:r>
    </w:p>
    <w:p>
      <w:pPr>
        <w:pStyle w:val="14"/>
        <w:framePr w:wrap="auto" w:vAnchor="margin" w:hAnchor="text" w:yAlign="inline"/>
        <w:numPr>
          <w:ilvl w:val="0"/>
          <w:numId w:val="5"/>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存在晚于合同约定时间支付款项的问题。《政务大厅营商环境业务外包合同》要求乙方开具发票向甲方（松山湖政务服务中心）申请首期款，甲方在第一个月内向乙方完成付款手续。合同签订日期是2022年6月17日，政务服务大厅营商环境业务外包项目的验收报告和同意支付首期款的时间是2022年6月17日，而首期款的支付日期是2022年7月28日。违反“甲方在第一个月内向乙方完成付款手续”的合同约定。此外，阅览室借书机光纤专线验收报告日期为2022年7月14日，支付凭证中的支付日期为2022年7月27日，违反了“验收合格且乙方开具正式发票后，甲方在5个工作日内向乙方支付全部货款”的合同约定。此处共扣除1分。</w:t>
      </w:r>
    </w:p>
    <w:p>
      <w:pPr>
        <w:pStyle w:val="14"/>
        <w:framePr w:wrap="auto" w:vAnchor="margin" w:hAnchor="text" w:yAlign="inline"/>
        <w:numPr>
          <w:ilvl w:val="0"/>
          <w:numId w:val="5"/>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存在没有完成项目验收工作，且未签订相关补充协议的情况。《智慧松山湖顶层规划项目咨询服务合同》约定“乙方在2022年10月31日前完成本合同的咨询服务工作，并提交咨询服务成果”“在乙方交付全部服务成果并经甲方验收合格后10个工作日内，甲方通知丙方根据合同要求支付乙方合同额的50%”“乙方在交付咨询服务成果时应同时提出书面的验收申请，甲方应当接到乙方书面验收申请后10个工作日内组织验收或提出改进建议，如到期未验或未提出异议，即视为验收通过”。根据评价单位提供的资料和现场调研可知，该项目在2022年没有完成验收工作，未支付合同尾款，也没有签订相关的补充协议，存在一定的合同违约风险，需要在后期进一步整改。此处扣除0.5分。</w:t>
      </w:r>
    </w:p>
    <w:p>
      <w:pPr>
        <w:pStyle w:val="14"/>
        <w:framePr w:wrap="auto" w:vAnchor="margin" w:hAnchor="text" w:yAlign="inline"/>
        <w:numPr>
          <w:ilvl w:val="0"/>
          <w:numId w:val="0"/>
        </w:numPr>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（3）项目管理规范性有待提高</w:t>
      </w:r>
    </w:p>
    <w:p>
      <w:pPr>
        <w:pStyle w:val="14"/>
        <w:framePr w:wrap="auto" w:vAnchor="margin" w:hAnchor="text" w:yAlign="inline"/>
        <w:widowControl w:val="0"/>
        <w:numPr>
          <w:ilvl w:val="0"/>
          <w:numId w:val="0"/>
        </w:num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一，未能针对项目调整内容设立新的绩效目标。根据预算管理的有关规定，绩效目标由预算单位申报，作为预算审核安排、绩效运行监控、绩效自评、重点绩效评价的重要依据之一。松山湖政务服务中心于2022年5月23日召开相关会议就“营商环境创新改革项目”进行讨论，会上决定调整2022年预算项目“营商环境创新改革”内容，将服务内容从企业注册一窗通办服务调整为承接园区24小时疫情热线工作，开展人力资源和社会保障分局业务入综合窗口工作。项目内容进行调整后，被评价单位未能针对调整内容设立新的绩效目标，未能同步更新绩效目标表，项目管理工作需要进一步加强。此处扣除0.5分。</w:t>
      </w:r>
    </w:p>
    <w:p>
      <w:pPr>
        <w:pStyle w:val="14"/>
        <w:framePr w:wrap="auto" w:vAnchor="margin" w:hAnchor="text" w:yAlign="inline"/>
        <w:widowControl w:val="0"/>
        <w:numPr>
          <w:ilvl w:val="0"/>
          <w:numId w:val="0"/>
        </w:num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验收程序不够规范。政务大厅营商环境业务外包项目、窗口法律咨询项目、导办台项目、邮政项目、数字化大厅信息化改造项目、松山湖市民中心标识更新项目、标准化服务之星项目、松山湖市民中心服务号媒体运营项目、广东省均等化政务服务标准化试点建设项目、优才服务区宣传设计项目等，由松山湖政务服务中心自己进行验收，大多验收报告仅说明“经验收，项目合格，同意支付xx元”，未能具体说明项目验收标准，第三方验收比例小，不具备充分的说服力。此处扣除0.5分。</w:t>
      </w:r>
    </w:p>
    <w:p>
      <w:pPr>
        <w:pStyle w:val="14"/>
        <w:framePr w:wrap="auto" w:vAnchor="margin" w:hAnchor="text" w:yAlign="inline"/>
        <w:widowControl w:val="0"/>
        <w:numPr>
          <w:ilvl w:val="0"/>
          <w:numId w:val="0"/>
        </w:numPr>
        <w:spacing w:line="360" w:lineRule="auto"/>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第三，各项目监管和检查工作充分性不足。</w:t>
      </w:r>
      <w:r>
        <w:rPr>
          <w:rFonts w:hint="eastAsia" w:ascii="仿宋" w:hAnsi="仿宋" w:eastAsia="仿宋" w:cs="仿宋"/>
          <w:color w:val="auto"/>
          <w:sz w:val="32"/>
          <w:szCs w:val="32"/>
          <w:highlight w:val="none"/>
        </w:rPr>
        <w:t>经书面审核与现场核查，</w:t>
      </w:r>
      <w:r>
        <w:rPr>
          <w:rFonts w:hint="eastAsia" w:ascii="仿宋" w:hAnsi="仿宋" w:eastAsia="仿宋" w:cs="仿宋"/>
          <w:color w:val="auto"/>
          <w:sz w:val="32"/>
          <w:szCs w:val="32"/>
          <w:highlight w:val="none"/>
          <w:lang w:val="en-US" w:eastAsia="zh-CN"/>
        </w:rPr>
        <w:t>松山湖政务服务</w:t>
      </w:r>
      <w:r>
        <w:rPr>
          <w:rFonts w:hint="eastAsia" w:ascii="仿宋" w:hAnsi="仿宋" w:eastAsia="仿宋" w:cs="仿宋"/>
          <w:color w:val="auto"/>
          <w:sz w:val="32"/>
          <w:szCs w:val="32"/>
          <w:highlight w:val="none"/>
        </w:rPr>
        <w:t>中心对所实施项目的检查、监控、督促等管理情况不到位，对专项资金和专项经费的使用情况以及项目实施进度</w:t>
      </w:r>
      <w:r>
        <w:rPr>
          <w:rFonts w:hint="eastAsia" w:ascii="仿宋" w:hAnsi="仿宋" w:eastAsia="仿宋" w:cs="仿宋"/>
          <w:color w:val="auto"/>
          <w:sz w:val="32"/>
          <w:szCs w:val="32"/>
          <w:highlight w:val="none"/>
          <w:lang w:val="en-US" w:eastAsia="zh-CN"/>
        </w:rPr>
        <w:t>较少</w:t>
      </w:r>
      <w:r>
        <w:rPr>
          <w:rFonts w:hint="eastAsia" w:ascii="仿宋" w:hAnsi="仿宋" w:eastAsia="仿宋" w:cs="仿宋"/>
          <w:color w:val="auto"/>
          <w:sz w:val="32"/>
          <w:szCs w:val="32"/>
          <w:highlight w:val="none"/>
        </w:rPr>
        <w:t>开展定期或不定期检查，不能保障资金支付进度和项目支付进度；未见大部分项目监督和检查工作的材料，如中期报告和日常抽查记录等，只提供了各项目的</w:t>
      </w:r>
      <w:r>
        <w:rPr>
          <w:rFonts w:hint="eastAsia" w:ascii="仿宋" w:hAnsi="仿宋" w:eastAsia="仿宋" w:cs="仿宋"/>
          <w:color w:val="auto"/>
          <w:sz w:val="32"/>
          <w:szCs w:val="32"/>
          <w:highlight w:val="none"/>
          <w:lang w:val="en-US" w:eastAsia="zh-CN"/>
        </w:rPr>
        <w:t>验收报告和部分项目的总结。此处扣除0.5分。</w:t>
      </w:r>
    </w:p>
    <w:p>
      <w:pPr>
        <w:pStyle w:val="14"/>
        <w:framePr w:wrap="auto" w:vAnchor="margin" w:hAnchor="text" w:yAlign="inline"/>
        <w:ind w:left="0" w:leftChars="0" w:firstLine="0" w:firstLineChars="0"/>
        <w:outlineLvl w:val="2"/>
        <w:rPr>
          <w:rFonts w:hint="eastAsia" w:ascii="Times New Roman" w:hAnsi="Times New Roman" w:eastAsia="楷体" w:cs="Times New Roman"/>
          <w:b/>
          <w:bCs/>
          <w:color w:val="auto"/>
          <w:kern w:val="2"/>
          <w:sz w:val="32"/>
          <w:szCs w:val="32"/>
          <w:highlight w:val="none"/>
          <w:lang w:val="en-US" w:eastAsia="zh-CN" w:bidi="ar-SA"/>
        </w:rPr>
      </w:pPr>
      <w:bookmarkStart w:id="15" w:name="_Toc31762"/>
      <w:r>
        <w:rPr>
          <w:rFonts w:hint="eastAsia" w:eastAsia="楷体" w:cs="Times New Roman"/>
          <w:b/>
          <w:bCs/>
          <w:color w:val="auto"/>
          <w:kern w:val="2"/>
          <w:sz w:val="32"/>
          <w:szCs w:val="32"/>
          <w:highlight w:val="none"/>
          <w:lang w:val="en-US" w:eastAsia="zh-CN" w:bidi="ar-SA"/>
        </w:rPr>
        <w:t>3</w:t>
      </w:r>
      <w:r>
        <w:rPr>
          <w:rFonts w:hint="eastAsia" w:ascii="Times New Roman" w:hAnsi="Times New Roman" w:eastAsia="楷体" w:cs="Times New Roman"/>
          <w:b/>
          <w:bCs/>
          <w:color w:val="auto"/>
          <w:kern w:val="2"/>
          <w:sz w:val="32"/>
          <w:szCs w:val="32"/>
          <w:highlight w:val="none"/>
          <w:lang w:val="en-US" w:eastAsia="zh-CN" w:bidi="ar-SA"/>
        </w:rPr>
        <w:t>.在内控制度方面，内控制度健全性和执行有效性不足</w:t>
      </w:r>
      <w:bookmarkEnd w:id="15"/>
    </w:p>
    <w:p>
      <w:pPr>
        <w:framePr w:wrap="auto" w:vAnchor="margin" w:hAnchor="text" w:yAlign="inline"/>
        <w:spacing w:line="600" w:lineRule="exact"/>
        <w:ind w:firstLine="640" w:firstLineChars="200"/>
        <w:rPr>
          <w:rFonts w:hint="eastAsia" w:ascii="Times New Roman" w:hAnsi="Times New Roman" w:eastAsia="楷体" w:cs="Times New Roman"/>
          <w:b/>
          <w:bCs/>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内控制度健全性和有效性对应的指标满分为10分，得分为9分，具体扣分情况如下：</w:t>
      </w:r>
    </w:p>
    <w:p>
      <w:pPr>
        <w:pStyle w:val="14"/>
        <w:framePr w:wrap="auto" w:vAnchor="margin" w:hAnchor="text" w:yAlign="inline"/>
        <w:numPr>
          <w:ilvl w:val="0"/>
          <w:numId w:val="0"/>
        </w:num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（1）业务督导落实不到位</w:t>
      </w:r>
    </w:p>
    <w:p>
      <w:pPr>
        <w:pStyle w:val="14"/>
        <w:framePr w:wrap="auto" w:vAnchor="margin" w:hAnchor="text" w:yAlign="inline"/>
        <w:widowControl w:val="0"/>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评价单位提供《政务服务中心财经秩序专项整治自查情况报告》和《松山湖政务服务中心面向中小企业采购自查情况报告》和《2021年度行政事业单位内部控制报告》，以佐证每年至少进行了一次关于内控规范实施的内部监督检查和自我评价，但所提供的自查报告内容仅包括政务服务中心财经秩序专项整治和面向中小企业采购工作，未涵盖整个内部控制管理制度的内容。此处扣除0.5分。</w:t>
      </w:r>
    </w:p>
    <w:p>
      <w:pPr>
        <w:pStyle w:val="14"/>
        <w:framePr w:wrap="auto" w:vAnchor="margin" w:hAnchor="text" w:yAlign="inline"/>
        <w:widowControl w:val="0"/>
        <w:numPr>
          <w:ilvl w:val="0"/>
          <w:numId w:val="0"/>
        </w:numPr>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（2）关键岗位轮岗制度不完善</w:t>
      </w:r>
    </w:p>
    <w:p>
      <w:pPr>
        <w:pStyle w:val="14"/>
        <w:framePr w:wrap="auto" w:vAnchor="margin" w:hAnchor="text" w:yAlign="inline"/>
        <w:widowControl w:val="0"/>
        <w:numPr>
          <w:ilvl w:val="0"/>
          <w:numId w:val="0"/>
        </w:num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被评价单位提供的资料以及现场核查发现，松山湖政务服务中心仅对财务管理部门制定了《松山湖政务服务中心财务岗位轮换制度》，但未对轮岗周期作出明确的规定，轮换频率不高，其主要原因是工作人员有限，工种也相对单一。而对其它岗位未制定轮岗制度，可见单位对于轮岗的管理方法落实不彻底，内控有效性有待提高。此处扣除0.5分。</w:t>
      </w:r>
    </w:p>
    <w:p>
      <w:pPr>
        <w:pStyle w:val="14"/>
        <w:framePr w:wrap="auto" w:vAnchor="margin" w:hAnchor="text" w:yAlign="inline"/>
        <w:numPr>
          <w:ilvl w:val="0"/>
          <w:numId w:val="6"/>
        </w:numPr>
        <w:ind w:left="0" w:leftChars="0" w:firstLine="0" w:firstLineChars="0"/>
        <w:outlineLvl w:val="2"/>
        <w:rPr>
          <w:rFonts w:hint="default" w:ascii="Times New Roman" w:hAnsi="Times New Roman" w:eastAsia="楷体" w:cs="Times New Roman"/>
          <w:b/>
          <w:bCs/>
          <w:color w:val="auto"/>
          <w:kern w:val="2"/>
          <w:sz w:val="32"/>
          <w:szCs w:val="32"/>
          <w:highlight w:val="none"/>
          <w:lang w:val="en-US" w:eastAsia="zh-CN" w:bidi="ar-SA"/>
        </w:rPr>
      </w:pPr>
      <w:bookmarkStart w:id="16" w:name="_Toc32245"/>
      <w:r>
        <w:rPr>
          <w:rFonts w:hint="eastAsia" w:ascii="Times New Roman" w:hAnsi="Times New Roman" w:eastAsia="楷体" w:cs="Times New Roman"/>
          <w:b/>
          <w:bCs/>
          <w:color w:val="auto"/>
          <w:kern w:val="2"/>
          <w:sz w:val="32"/>
          <w:szCs w:val="32"/>
          <w:highlight w:val="none"/>
          <w:lang w:val="en-US" w:eastAsia="zh-CN" w:bidi="ar-SA"/>
        </w:rPr>
        <w:t>在人力资源方面，</w:t>
      </w:r>
      <w:r>
        <w:rPr>
          <w:rFonts w:hint="eastAsia" w:eastAsia="楷体" w:cs="Times New Roman"/>
          <w:b/>
          <w:bCs/>
          <w:color w:val="auto"/>
          <w:kern w:val="2"/>
          <w:sz w:val="32"/>
          <w:szCs w:val="32"/>
          <w:highlight w:val="none"/>
          <w:lang w:val="en-US" w:eastAsia="zh-CN" w:bidi="ar-SA"/>
        </w:rPr>
        <w:t>存在</w:t>
      </w:r>
      <w:r>
        <w:rPr>
          <w:rFonts w:hint="eastAsia" w:ascii="Times New Roman" w:hAnsi="Times New Roman" w:eastAsia="楷体" w:cs="Times New Roman"/>
          <w:b/>
          <w:bCs/>
          <w:color w:val="auto"/>
          <w:kern w:val="2"/>
          <w:sz w:val="32"/>
          <w:szCs w:val="32"/>
          <w:highlight w:val="none"/>
          <w:lang w:val="en-US" w:eastAsia="zh-CN" w:bidi="ar-SA"/>
        </w:rPr>
        <w:t>人员流失率较</w:t>
      </w:r>
      <w:r>
        <w:rPr>
          <w:rFonts w:hint="eastAsia" w:eastAsia="楷体" w:cs="Times New Roman"/>
          <w:b/>
          <w:bCs/>
          <w:color w:val="auto"/>
          <w:kern w:val="2"/>
          <w:sz w:val="32"/>
          <w:szCs w:val="32"/>
          <w:highlight w:val="none"/>
          <w:lang w:val="en-US" w:eastAsia="zh-CN" w:bidi="ar-SA"/>
        </w:rPr>
        <w:t>高的问题</w:t>
      </w:r>
      <w:bookmarkEnd w:id="16"/>
    </w:p>
    <w:p>
      <w:pPr>
        <w:pStyle w:val="14"/>
        <w:framePr w:wrap="auto" w:vAnchor="margin" w:hAnchor="text" w:yAlign="inline"/>
        <w:widowControl w:val="0"/>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人员管理和人员流失率指标满分为3分，得分为3分。</w:t>
      </w:r>
    </w:p>
    <w:p>
      <w:pPr>
        <w:pStyle w:val="14"/>
        <w:framePr w:wrap="auto" w:vAnchor="margin" w:hAnchor="text" w:yAlign="inline"/>
        <w:widowControl w:val="0"/>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被评价单位提供资料可知，2022年松山湖政务服务中心工作人员流失数量为3人，2022年度末单位工作人员总数为30人，人员流失率为10%，流失人员均为非在编工作人员。根据座谈会和现场调研可知，政务服务综合窗口业务高度集成，要求政务服务工作人员既要熟悉掌握业务知识，又要符合综合管理素质，还要了解国家、省、市政务服务发展动态和园区情况，对政务服务工作人员提出了较高要求。政务服务中心的业务量不断增加，服务质量要求也越来越高，工作人员面临的工作压力较大。而目前窗口工作人员只拿固定工资，绩效奖金的比例占比较小，缺乏进阶成长等积极因素影响，导致人员流失频繁，大厅日常运转面临严峻的考验。此外，政务服务中心窗口需要承接12个部门的业务，人员培养所花费的成本较高，培养时间较长，至少需要花半年的时间，新员工才能掌握基本业务。较高的流失率不利于政务服务工作的有效开展。</w:t>
      </w:r>
    </w:p>
    <w:p>
      <w:pPr>
        <w:pStyle w:val="5"/>
        <w:framePr w:wrap="auto" w:vAnchor="margin" w:hAnchor="text" w:yAlign="inline"/>
        <w:numPr>
          <w:ilvl w:val="0"/>
          <w:numId w:val="0"/>
        </w:numPr>
        <w:spacing w:before="0" w:after="0" w:line="600" w:lineRule="exact"/>
        <w:rPr>
          <w:rFonts w:hint="eastAsia" w:ascii="Times New Roman" w:hAnsi="Times New Roman" w:eastAsia="楷体" w:cs="Times New Roman"/>
          <w:color w:val="auto"/>
          <w:highlight w:val="none"/>
          <w:lang w:val="en-US" w:eastAsia="zh-CN"/>
        </w:rPr>
      </w:pPr>
      <w:bookmarkStart w:id="17" w:name="_Toc10233"/>
      <w:r>
        <w:rPr>
          <w:rFonts w:hint="eastAsia" w:ascii="Times New Roman" w:hAnsi="Times New Roman" w:eastAsia="楷体" w:cs="Times New Roman"/>
          <w:color w:val="auto"/>
          <w:highlight w:val="none"/>
          <w:lang w:val="en-US" w:eastAsia="zh-CN"/>
        </w:rPr>
        <w:t>（二）绩效管理建议</w:t>
      </w:r>
      <w:bookmarkEnd w:id="17"/>
    </w:p>
    <w:p>
      <w:pPr>
        <w:framePr w:wrap="auto" w:vAnchor="margin" w:hAnchor="text" w:yAlign="inline"/>
        <w:numPr>
          <w:ilvl w:val="0"/>
          <w:numId w:val="0"/>
        </w:numPr>
        <w:outlineLvl w:val="2"/>
        <w:rPr>
          <w:rFonts w:hint="eastAsia" w:ascii="Times New Roman" w:hAnsi="Times New Roman" w:eastAsia="楷体" w:cs="Times New Roman"/>
          <w:b/>
          <w:bCs/>
          <w:color w:val="auto"/>
          <w:kern w:val="2"/>
          <w:sz w:val="32"/>
          <w:szCs w:val="32"/>
          <w:highlight w:val="none"/>
          <w:lang w:val="en-US" w:eastAsia="zh-CN" w:bidi="ar-SA"/>
        </w:rPr>
      </w:pPr>
      <w:bookmarkStart w:id="18" w:name="_Toc24534"/>
      <w:r>
        <w:rPr>
          <w:rFonts w:hint="eastAsia" w:ascii="Times New Roman" w:hAnsi="Times New Roman" w:eastAsia="楷体" w:cs="Times New Roman"/>
          <w:b/>
          <w:bCs/>
          <w:color w:val="auto"/>
          <w:kern w:val="2"/>
          <w:sz w:val="32"/>
          <w:szCs w:val="32"/>
          <w:highlight w:val="none"/>
          <w:lang w:val="en-US" w:eastAsia="zh-CN" w:bidi="ar-SA"/>
        </w:rPr>
        <w:t>1.预算编制方面，细化绩效指标，提高预算编制准确性</w:t>
      </w:r>
      <w:bookmarkEnd w:id="18"/>
    </w:p>
    <w:p>
      <w:pPr>
        <w:framePr w:wrap="auto" w:vAnchor="margin" w:hAnchor="text" w:yAlign="inline"/>
        <w:numPr>
          <w:ilvl w:val="0"/>
          <w:numId w:val="0"/>
        </w:numPr>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（1）重视部门整体目标，细化绩效指标</w:t>
      </w:r>
    </w:p>
    <w:p>
      <w:pPr>
        <w:framePr w:wrap="auto" w:vAnchor="margin" w:hAnchor="text" w:yAlign="inline"/>
        <w:spacing w:line="600" w:lineRule="exact"/>
        <w:ind w:firstLine="585" w:firstLineChars="183"/>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一是要结合年度重点工作计划和部门职能设定部门整体目标，结合专项资金的性质设定具体明确的专项资金的目标，明确项目实施后所带来的影响。二是完善指标名称规范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设定</w:t>
      </w:r>
      <w:r>
        <w:rPr>
          <w:rFonts w:hint="eastAsia" w:ascii="仿宋" w:hAnsi="仿宋" w:eastAsia="仿宋" w:cs="仿宋"/>
          <w:color w:val="auto"/>
          <w:sz w:val="32"/>
          <w:szCs w:val="32"/>
          <w:highlight w:val="none"/>
        </w:rPr>
        <w:t>可衡量的绩效指</w:t>
      </w:r>
      <w:r>
        <w:rPr>
          <w:rFonts w:hint="eastAsia" w:ascii="仿宋" w:hAnsi="仿宋" w:eastAsia="仿宋" w:cs="仿宋"/>
          <w:color w:val="auto"/>
          <w:sz w:val="32"/>
          <w:szCs w:val="32"/>
          <w:highlight w:val="none"/>
          <w:lang w:val="en-US" w:eastAsia="zh-CN"/>
        </w:rPr>
        <w:t>标。部门整体支出绩效指标的设置要尽可能地细化，避免过于笼统和定性描述，尽量设定可量化可考核的绩效指标。例如，广东省均等化政务服务标准化试点建设项目的数量指标可以修改为“标准化项目编制完成率”；标准化服务之星项目的数量指标可以修改为“标准化服务之星评选开展次数”，指标值为“2次”。三是</w:t>
      </w:r>
      <w:r>
        <w:rPr>
          <w:rFonts w:hint="eastAsia" w:ascii="仿宋" w:hAnsi="仿宋" w:eastAsia="仿宋" w:cs="仿宋"/>
          <w:color w:val="auto"/>
          <w:kern w:val="2"/>
          <w:sz w:val="32"/>
          <w:szCs w:val="32"/>
          <w:highlight w:val="none"/>
          <w:lang w:val="en-US" w:eastAsia="zh-CN" w:bidi="ar-SA"/>
        </w:rPr>
        <w:t>根据各项指标的实际情况，设置个性化指标值并提供计算公式或衡量方法，</w:t>
      </w:r>
      <w:r>
        <w:rPr>
          <w:rFonts w:hint="eastAsia" w:ascii="仿宋" w:hAnsi="仿宋" w:eastAsia="仿宋" w:cs="仿宋"/>
          <w:color w:val="auto"/>
          <w:sz w:val="32"/>
          <w:szCs w:val="32"/>
          <w:highlight w:val="none"/>
          <w:lang w:val="en-US" w:eastAsia="zh-CN"/>
        </w:rPr>
        <w:t>在设置各项指标数值时，要以实际情况和历史数据为基础，制定符合正常产出水平的指标值，并</w:t>
      </w:r>
      <w:r>
        <w:rPr>
          <w:rFonts w:hint="eastAsia" w:ascii="仿宋" w:hAnsi="仿宋" w:eastAsia="仿宋" w:cs="仿宋"/>
          <w:color w:val="auto"/>
          <w:kern w:val="2"/>
          <w:sz w:val="32"/>
          <w:szCs w:val="32"/>
          <w:highlight w:val="none"/>
          <w:lang w:val="en-US" w:eastAsia="zh-CN" w:bidi="ar-SA"/>
        </w:rPr>
        <w:t>提供绩效指标的设定依据。</w:t>
      </w:r>
    </w:p>
    <w:p>
      <w:pPr>
        <w:framePr w:wrap="auto" w:vAnchor="margin" w:hAnchor="text" w:yAlign="inline"/>
        <w:spacing w:line="600" w:lineRule="exact"/>
        <w:ind w:left="0" w:leftChars="0" w:firstLine="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（2）加强前期调研，提高预算编制的科学性、准确性</w:t>
      </w:r>
    </w:p>
    <w:p>
      <w:pPr>
        <w:pStyle w:val="14"/>
        <w:framePr w:wrap="auto" w:vAnchor="margin" w:hAnchor="text" w:yAlign="inline"/>
        <w:spacing w:line="60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highlight w:val="none"/>
        </w:rPr>
        <w:t>项目前期论证是保障项目顺利实施并实现其预期目标的关键环节之一</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highlight w:val="none"/>
          <w:lang w:val="en-US" w:eastAsia="zh-CN" w:bidi="ar-SA"/>
        </w:rPr>
        <w:t>在预算编制前应该加强前期调研，充分考虑可能发生的情况，特别关注部门协同可能存在的问题。科学设置项目的实施内容和计划，资金需求测算应该尽量细化，阐明具体的明细和数量，及时反馈预算执行情况，做好中期预算调整工作，尽量减少追加等调整预算资金的情况发生。进一步加强单位内部的预算管理意识，全面编制预算项目，优先保障固定性的、相对刚性的费用支出项目，尽量压缩变动性的、有控制空间的费用项目，进一步提高预算编制的科学性、严谨性和可控性，以全面提升预算绩效管理能力。</w:t>
      </w:r>
    </w:p>
    <w:p>
      <w:pPr>
        <w:framePr w:wrap="auto" w:vAnchor="margin" w:hAnchor="text" w:yAlign="inline"/>
        <w:numPr>
          <w:ilvl w:val="0"/>
          <w:numId w:val="0"/>
        </w:numPr>
        <w:outlineLvl w:val="2"/>
        <w:rPr>
          <w:rFonts w:hint="eastAsia" w:ascii="Times New Roman" w:hAnsi="Times New Roman" w:eastAsia="楷体" w:cs="Times New Roman"/>
          <w:b/>
          <w:bCs/>
          <w:color w:val="auto"/>
          <w:kern w:val="2"/>
          <w:sz w:val="32"/>
          <w:szCs w:val="32"/>
          <w:highlight w:val="none"/>
          <w:lang w:val="en-US" w:eastAsia="zh-CN" w:bidi="ar-SA"/>
        </w:rPr>
      </w:pPr>
      <w:bookmarkStart w:id="19" w:name="_Toc1967"/>
      <w:r>
        <w:rPr>
          <w:rFonts w:hint="eastAsia" w:ascii="Times New Roman" w:hAnsi="Times New Roman" w:eastAsia="楷体" w:cs="Times New Roman"/>
          <w:b/>
          <w:bCs/>
          <w:color w:val="auto"/>
          <w:kern w:val="2"/>
          <w:sz w:val="32"/>
          <w:szCs w:val="32"/>
          <w:highlight w:val="none"/>
          <w:lang w:val="en-US" w:eastAsia="zh-CN" w:bidi="ar-SA"/>
        </w:rPr>
        <w:t>2.预算执行方面，规范财务管理工作，加强日常监管</w:t>
      </w:r>
      <w:bookmarkEnd w:id="19"/>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（1）加强业务培训，严格遵守合同约定</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松山湖政务服务中心应加强工作人员业务培训，提升财务规范化水平，严格遵守合同约定。加快材料报送和审核流程，保证项目经费支出符合相关规定并按照合同约定及时支付，保证资金管理的规范性、安全性和有效性，提高项目资金使用效益。如遇特殊情况，应经过双方友好协商，并及时签署补充协议，规避违约风险。</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建议加强项目监管，做好事中监管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事后验收工作</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评价单位应该对项目开展定期或不定期检查，确保项目能够按时按质按量完成，通过优化资源配置、提高工作效率等方式提高项目的执行效果。单位需要进一步强化对项目的跟踪、监控、评估和反馈，对于发现的质量问题要及时整改，形成闭环。对于项目质量，除了进行不定期跟踪督查外，也要对资金进行全过程的追踪和不定期的核查，确保资金使用不产生偏差，结合工作实际，实事求是，使项目经费最大限度投入到专业工作中。对于重大项目的支出，要委托第三方进行评估，以确保支出的合理性和规范性。建议松山湖政务服务中心加强项目第三方验收力度，扩大第三方验收项目比例。此外，在项目验收报告中，应该具体写明验收标准和验收情况，避免验收报告过于笼统。</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textAlignment w:val="auto"/>
        <w:outlineLvl w:val="2"/>
        <w:rPr>
          <w:rFonts w:hint="eastAsia" w:ascii="仿宋" w:hAnsi="仿宋" w:eastAsia="仿宋" w:cs="仿宋"/>
          <w:color w:val="auto"/>
          <w:kern w:val="2"/>
          <w:sz w:val="32"/>
          <w:szCs w:val="32"/>
          <w:highlight w:val="none"/>
          <w:lang w:val="en-US" w:eastAsia="zh-CN" w:bidi="ar-SA"/>
        </w:rPr>
      </w:pPr>
      <w:bookmarkStart w:id="20" w:name="_Toc3651"/>
      <w:r>
        <w:rPr>
          <w:rFonts w:hint="eastAsia" w:ascii="Times New Roman" w:hAnsi="Times New Roman" w:eastAsia="楷体" w:cs="Times New Roman"/>
          <w:b/>
          <w:bCs/>
          <w:color w:val="auto"/>
          <w:kern w:val="2"/>
          <w:sz w:val="32"/>
          <w:szCs w:val="32"/>
          <w:highlight w:val="none"/>
          <w:lang w:val="en-US" w:eastAsia="zh-CN" w:bidi="ar-SA"/>
        </w:rPr>
        <w:t>3.内控制度方面，完善相关制度，有效执行内控制度</w:t>
      </w:r>
      <w:bookmarkEnd w:id="20"/>
    </w:p>
    <w:p>
      <w:pPr>
        <w:pStyle w:val="1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（1）制定</w:t>
      </w:r>
      <w:r>
        <w:rPr>
          <w:rFonts w:hint="eastAsia" w:ascii="仿宋" w:hAnsi="仿宋" w:eastAsia="仿宋" w:cs="仿宋"/>
          <w:color w:val="auto"/>
          <w:sz w:val="32"/>
          <w:szCs w:val="32"/>
          <w:highlight w:val="none"/>
          <w:lang w:val="en-US" w:eastAsia="zh-CN"/>
        </w:rPr>
        <w:t>关键岗位轮岗制度</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leftChars="0" w:firstLine="640" w:firstLineChars="200"/>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制定明确的人才轮岗培育制度，对轮岗周期作出明确规定，以完善内控制度，对无法轮岗的岗位，继续实行内部审计或财务检查的方式解决。</w:t>
      </w:r>
    </w:p>
    <w:p>
      <w:pPr>
        <w:pStyle w:val="1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（2）制定内部</w:t>
      </w:r>
      <w:r>
        <w:rPr>
          <w:rFonts w:hint="eastAsia" w:ascii="仿宋" w:hAnsi="仿宋" w:eastAsia="仿宋" w:cs="仿宋"/>
          <w:color w:val="auto"/>
          <w:sz w:val="32"/>
          <w:szCs w:val="32"/>
          <w:highlight w:val="none"/>
          <w:lang w:val="en-US" w:eastAsia="zh-CN"/>
        </w:rPr>
        <w:t>风险清单，完善部门内控制度</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leftChars="0" w:firstLine="640" w:firstLineChars="200"/>
        <w:textAlignment w:val="auto"/>
        <w:outlineLvl w:val="9"/>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定期对松山湖政务服务中心预算管理、收支业务、政府采购业务、资产管理等业务流程以及安全基础设置中存在的风险进行等级评定，通过梳理各个业务流程的风险点，形成风险清单，制定识别、规避或者降低风险的措施和机制。对内控体系的有效性进行全面自评，客观、真实、准确揭示单位管理中存在的内控缺陷、风险和合规问题，每年度形成完整的自查报告和内部风险评估报告，按规定报送上级单位，对存在的安全风险进行有效管控。利用填报年度行政事业单位内部控制报告的时机，对部门内部控制情况进行全面梳理，查漏补缺，完善创新，根据每年实际情况的变化及时修订和完善部门内控制度，切实规范内部控制，降低廉政风险。</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leftChars="0"/>
        <w:textAlignment w:val="auto"/>
        <w:outlineLvl w:val="2"/>
        <w:rPr>
          <w:rFonts w:hint="eastAsia" w:ascii="Times New Roman" w:hAnsi="Times New Roman" w:eastAsia="楷体" w:cs="Times New Roman"/>
          <w:b/>
          <w:bCs/>
          <w:color w:val="auto"/>
          <w:kern w:val="2"/>
          <w:sz w:val="32"/>
          <w:szCs w:val="32"/>
          <w:highlight w:val="none"/>
          <w:lang w:val="en-US" w:eastAsia="zh-CN" w:bidi="ar-SA"/>
        </w:rPr>
      </w:pPr>
      <w:bookmarkStart w:id="21" w:name="_Toc31452"/>
      <w:r>
        <w:rPr>
          <w:rFonts w:hint="eastAsia" w:ascii="Times New Roman" w:hAnsi="Times New Roman" w:eastAsia="楷体" w:cs="Times New Roman"/>
          <w:b/>
          <w:bCs/>
          <w:color w:val="auto"/>
          <w:kern w:val="2"/>
          <w:sz w:val="32"/>
          <w:szCs w:val="32"/>
          <w:highlight w:val="none"/>
          <w:lang w:val="en-US" w:eastAsia="zh-CN" w:bidi="ar-SA"/>
        </w:rPr>
        <w:t>4.人力资源方面，完善绩效激励机制，留住优秀人才</w:t>
      </w:r>
      <w:bookmarkEnd w:id="21"/>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建议提升</w:t>
      </w:r>
      <w:r>
        <w:rPr>
          <w:rFonts w:hint="eastAsia" w:ascii="仿宋" w:hAnsi="仿宋" w:eastAsia="仿宋" w:cs="仿宋"/>
          <w:color w:val="auto"/>
          <w:sz w:val="32"/>
          <w:szCs w:val="32"/>
          <w:highlight w:val="none"/>
          <w:lang w:val="en-US" w:eastAsia="zh-CN"/>
        </w:rPr>
        <w:t>被评价</w:t>
      </w:r>
      <w:r>
        <w:rPr>
          <w:rFonts w:hint="default" w:ascii="仿宋" w:hAnsi="仿宋" w:eastAsia="仿宋" w:cs="仿宋"/>
          <w:color w:val="auto"/>
          <w:sz w:val="32"/>
          <w:szCs w:val="32"/>
          <w:highlight w:val="none"/>
          <w:lang w:val="en-US" w:eastAsia="zh-CN"/>
        </w:rPr>
        <w:t>单位用人自主性，赋予薪酬管理权，实行经费、岗位双向控制，激励员工干事热情。对于非在编的窗口政务服务人员，可在</w:t>
      </w:r>
      <w:r>
        <w:rPr>
          <w:rFonts w:hint="eastAsia" w:ascii="仿宋" w:hAnsi="仿宋" w:eastAsia="仿宋" w:cs="仿宋"/>
          <w:color w:val="auto"/>
          <w:sz w:val="32"/>
          <w:szCs w:val="32"/>
          <w:highlight w:val="none"/>
          <w:lang w:val="en-US" w:eastAsia="zh-CN"/>
        </w:rPr>
        <w:t>松山湖</w:t>
      </w:r>
      <w:r>
        <w:rPr>
          <w:rFonts w:hint="default" w:ascii="仿宋" w:hAnsi="仿宋" w:eastAsia="仿宋" w:cs="仿宋"/>
          <w:color w:val="auto"/>
          <w:sz w:val="32"/>
          <w:szCs w:val="32"/>
          <w:highlight w:val="none"/>
          <w:lang w:val="en-US" w:eastAsia="zh-CN"/>
        </w:rPr>
        <w:t>管委会的指导下，做大绩效薪酬“盘子”，通过精细化、个性化的绩效激励机制，按照多劳多得原则分配到个人，让肯干事、能干事的人薪酬待遇比以往有所提升，解决薪酬矛盾，提高工作效率和质量，留住优秀窗口政务服务人员。</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要充分发挥各个窗口工作人员的个人优势和积累的先进经验，形成“老带新”“传帮带”的窗口人员培训体系，由业务精湛的老员工为新进员工传授工作经验和方法，缩短窗口工作人员的培训周期，使得新进员工尽快熟悉各项审批事项的业务流程，快速成长。</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同时，要</w:t>
      </w:r>
      <w:r>
        <w:rPr>
          <w:rFonts w:hint="eastAsia" w:ascii="仿宋" w:hAnsi="仿宋" w:eastAsia="仿宋" w:cs="仿宋"/>
          <w:color w:val="auto"/>
          <w:sz w:val="32"/>
          <w:szCs w:val="32"/>
          <w:highlight w:val="none"/>
        </w:rPr>
        <w:t>加强对</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rPr>
        <w:t>工作人员能力提升培训效果的重视。部门平时组织内部工作人员开展与专业相关的培训和学习活动，需要</w:t>
      </w:r>
      <w:r>
        <w:rPr>
          <w:rFonts w:hint="eastAsia" w:ascii="仿宋" w:hAnsi="仿宋" w:eastAsia="仿宋" w:cs="仿宋"/>
          <w:color w:val="auto"/>
          <w:sz w:val="32"/>
          <w:szCs w:val="32"/>
          <w:highlight w:val="none"/>
          <w:lang w:val="en-US" w:eastAsia="zh-CN"/>
        </w:rPr>
        <w:t>更加</w:t>
      </w:r>
      <w:r>
        <w:rPr>
          <w:rFonts w:hint="eastAsia" w:ascii="仿宋" w:hAnsi="仿宋" w:eastAsia="仿宋" w:cs="仿宋"/>
          <w:color w:val="auto"/>
          <w:sz w:val="32"/>
          <w:szCs w:val="32"/>
          <w:highlight w:val="none"/>
        </w:rPr>
        <w:t>关注内部工作人员对于单位所提供的提升自身能力的培训是否认可，认可程度如何，</w:t>
      </w:r>
      <w:r>
        <w:rPr>
          <w:rFonts w:hint="eastAsia" w:ascii="仿宋" w:hAnsi="仿宋" w:eastAsia="仿宋" w:cs="仿宋"/>
          <w:color w:val="auto"/>
          <w:sz w:val="32"/>
          <w:szCs w:val="32"/>
          <w:highlight w:val="none"/>
          <w:lang w:val="en-US" w:eastAsia="zh-CN"/>
        </w:rPr>
        <w:t>以及培训课程内容安排是否合理，</w:t>
      </w:r>
      <w:r>
        <w:rPr>
          <w:rFonts w:hint="eastAsia" w:ascii="仿宋" w:hAnsi="仿宋" w:eastAsia="仿宋" w:cs="仿宋"/>
          <w:color w:val="auto"/>
          <w:sz w:val="32"/>
          <w:szCs w:val="32"/>
          <w:highlight w:val="none"/>
        </w:rPr>
        <w:t>做到真正通过培训提升部门内部工作人员的能力。</w:t>
      </w: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highlight w:val="none"/>
          <w:lang w:val="en-US" w:eastAsia="zh-CN"/>
        </w:rPr>
      </w:pPr>
    </w:p>
    <w:p>
      <w:pPr>
        <w:pStyle w:val="2"/>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附件：东莞市松山湖高新技术产业开发区政务服务中心2022年度部门整体支出绩效评价指标</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1C12D"/>
    <w:multiLevelType w:val="singleLevel"/>
    <w:tmpl w:val="9591C12D"/>
    <w:lvl w:ilvl="0" w:tentative="0">
      <w:start w:val="1"/>
      <w:numFmt w:val="chineseCounting"/>
      <w:suff w:val="nothing"/>
      <w:lvlText w:val="第%1，"/>
      <w:lvlJc w:val="left"/>
      <w:rPr>
        <w:rFonts w:hint="eastAsia"/>
      </w:rPr>
    </w:lvl>
  </w:abstractNum>
  <w:abstractNum w:abstractNumId="1">
    <w:nsid w:val="9FCF2129"/>
    <w:multiLevelType w:val="singleLevel"/>
    <w:tmpl w:val="9FCF2129"/>
    <w:lvl w:ilvl="0" w:tentative="0">
      <w:start w:val="1"/>
      <w:numFmt w:val="chineseCounting"/>
      <w:suff w:val="space"/>
      <w:lvlText w:val="（%1）"/>
      <w:lvlJc w:val="left"/>
      <w:rPr>
        <w:rFonts w:hint="eastAsia"/>
      </w:rPr>
    </w:lvl>
  </w:abstractNum>
  <w:abstractNum w:abstractNumId="2">
    <w:nsid w:val="BD3A399C"/>
    <w:multiLevelType w:val="singleLevel"/>
    <w:tmpl w:val="BD3A399C"/>
    <w:lvl w:ilvl="0" w:tentative="0">
      <w:start w:val="4"/>
      <w:numFmt w:val="decimal"/>
      <w:lvlText w:val="%1."/>
      <w:lvlJc w:val="left"/>
      <w:pPr>
        <w:tabs>
          <w:tab w:val="left" w:pos="312"/>
        </w:tabs>
      </w:pPr>
    </w:lvl>
  </w:abstractNum>
  <w:abstractNum w:abstractNumId="3">
    <w:nsid w:val="E7E3A92B"/>
    <w:multiLevelType w:val="singleLevel"/>
    <w:tmpl w:val="E7E3A92B"/>
    <w:lvl w:ilvl="0" w:tentative="0">
      <w:start w:val="2"/>
      <w:numFmt w:val="decimal"/>
      <w:suff w:val="nothing"/>
      <w:lvlText w:val="（%1）"/>
      <w:lvlJc w:val="left"/>
    </w:lvl>
  </w:abstractNum>
  <w:abstractNum w:abstractNumId="4">
    <w:nsid w:val="E8B1D19E"/>
    <w:multiLevelType w:val="singleLevel"/>
    <w:tmpl w:val="E8B1D19E"/>
    <w:lvl w:ilvl="0" w:tentative="0">
      <w:start w:val="1"/>
      <w:numFmt w:val="chineseCounting"/>
      <w:suff w:val="space"/>
      <w:lvlText w:val="%1、"/>
      <w:lvlJc w:val="left"/>
      <w:rPr>
        <w:rFonts w:hint="eastAsia"/>
      </w:rPr>
    </w:lvl>
  </w:abstractNum>
  <w:abstractNum w:abstractNumId="5">
    <w:nsid w:val="0424DB77"/>
    <w:multiLevelType w:val="singleLevel"/>
    <w:tmpl w:val="0424DB77"/>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DhjMmRjNTUwNGEzMWExMmUzNTcyMTkyYjY1ODcifQ=="/>
  </w:docVars>
  <w:rsids>
    <w:rsidRoot w:val="00000000"/>
    <w:rsid w:val="0002117A"/>
    <w:rsid w:val="013C06BC"/>
    <w:rsid w:val="01505F15"/>
    <w:rsid w:val="0159301C"/>
    <w:rsid w:val="01852063"/>
    <w:rsid w:val="03304250"/>
    <w:rsid w:val="03806F86"/>
    <w:rsid w:val="038D3451"/>
    <w:rsid w:val="03A34A22"/>
    <w:rsid w:val="04846602"/>
    <w:rsid w:val="056F72B2"/>
    <w:rsid w:val="058014BF"/>
    <w:rsid w:val="05D830A9"/>
    <w:rsid w:val="064C314F"/>
    <w:rsid w:val="08852948"/>
    <w:rsid w:val="08C43DA7"/>
    <w:rsid w:val="08CC4A1B"/>
    <w:rsid w:val="08E81855"/>
    <w:rsid w:val="0911242E"/>
    <w:rsid w:val="091B505B"/>
    <w:rsid w:val="0A7B04A7"/>
    <w:rsid w:val="0A8C4462"/>
    <w:rsid w:val="0A8C6210"/>
    <w:rsid w:val="0ABA0FCF"/>
    <w:rsid w:val="0B57681E"/>
    <w:rsid w:val="0BA13F3D"/>
    <w:rsid w:val="0BF7590B"/>
    <w:rsid w:val="0C4072B2"/>
    <w:rsid w:val="0CEE6D0E"/>
    <w:rsid w:val="0DDA54E4"/>
    <w:rsid w:val="0E320E7D"/>
    <w:rsid w:val="0E5232CD"/>
    <w:rsid w:val="0E63197E"/>
    <w:rsid w:val="0E912047"/>
    <w:rsid w:val="0E924011"/>
    <w:rsid w:val="0F557518"/>
    <w:rsid w:val="0F7200CA"/>
    <w:rsid w:val="0F916077"/>
    <w:rsid w:val="0F985657"/>
    <w:rsid w:val="0F9F0794"/>
    <w:rsid w:val="102D5D9F"/>
    <w:rsid w:val="10AB3168"/>
    <w:rsid w:val="10C2298C"/>
    <w:rsid w:val="10DD5A17"/>
    <w:rsid w:val="117B0D8C"/>
    <w:rsid w:val="11B76268"/>
    <w:rsid w:val="121A2353"/>
    <w:rsid w:val="1222745A"/>
    <w:rsid w:val="123A0C48"/>
    <w:rsid w:val="12B44556"/>
    <w:rsid w:val="13B30CB1"/>
    <w:rsid w:val="14D47131"/>
    <w:rsid w:val="14EA425F"/>
    <w:rsid w:val="159D7523"/>
    <w:rsid w:val="15A5462A"/>
    <w:rsid w:val="175B7696"/>
    <w:rsid w:val="17EC02EE"/>
    <w:rsid w:val="183F2B14"/>
    <w:rsid w:val="18E90CD1"/>
    <w:rsid w:val="19397563"/>
    <w:rsid w:val="194128BC"/>
    <w:rsid w:val="19C534ED"/>
    <w:rsid w:val="1ACE4623"/>
    <w:rsid w:val="1B50328A"/>
    <w:rsid w:val="1EAF2075"/>
    <w:rsid w:val="1F3709E9"/>
    <w:rsid w:val="1F6410B2"/>
    <w:rsid w:val="1F9F20EA"/>
    <w:rsid w:val="201725C8"/>
    <w:rsid w:val="20720E70"/>
    <w:rsid w:val="20FA7F20"/>
    <w:rsid w:val="21026DD4"/>
    <w:rsid w:val="21ED35E0"/>
    <w:rsid w:val="22D87DED"/>
    <w:rsid w:val="23130E25"/>
    <w:rsid w:val="25867FD4"/>
    <w:rsid w:val="258E50DA"/>
    <w:rsid w:val="25C40AFC"/>
    <w:rsid w:val="25D56865"/>
    <w:rsid w:val="25F25669"/>
    <w:rsid w:val="260B2287"/>
    <w:rsid w:val="264439EB"/>
    <w:rsid w:val="26D42FC1"/>
    <w:rsid w:val="273B094A"/>
    <w:rsid w:val="279F35CF"/>
    <w:rsid w:val="27AA5AD0"/>
    <w:rsid w:val="282615FA"/>
    <w:rsid w:val="288F719F"/>
    <w:rsid w:val="290A2CCA"/>
    <w:rsid w:val="291B6C85"/>
    <w:rsid w:val="29804D3A"/>
    <w:rsid w:val="2A047719"/>
    <w:rsid w:val="2A331DAD"/>
    <w:rsid w:val="2A4B5348"/>
    <w:rsid w:val="2AAB4039"/>
    <w:rsid w:val="2BB05DAB"/>
    <w:rsid w:val="2C475FE3"/>
    <w:rsid w:val="2C602C01"/>
    <w:rsid w:val="2C9F7BCD"/>
    <w:rsid w:val="2CE657FC"/>
    <w:rsid w:val="2DDB69E3"/>
    <w:rsid w:val="2E232138"/>
    <w:rsid w:val="2E625356"/>
    <w:rsid w:val="2E870919"/>
    <w:rsid w:val="2EBD0B5A"/>
    <w:rsid w:val="2EBF00B3"/>
    <w:rsid w:val="2ED753FC"/>
    <w:rsid w:val="2F283EAA"/>
    <w:rsid w:val="2F3960B7"/>
    <w:rsid w:val="30240B15"/>
    <w:rsid w:val="321D3A6E"/>
    <w:rsid w:val="334D2131"/>
    <w:rsid w:val="338813BB"/>
    <w:rsid w:val="33D20888"/>
    <w:rsid w:val="35C81F43"/>
    <w:rsid w:val="36363350"/>
    <w:rsid w:val="36A858D0"/>
    <w:rsid w:val="371D1E1A"/>
    <w:rsid w:val="3872263A"/>
    <w:rsid w:val="38C20ECB"/>
    <w:rsid w:val="39C90037"/>
    <w:rsid w:val="39DF3CFF"/>
    <w:rsid w:val="3A233BEC"/>
    <w:rsid w:val="3A2F07E2"/>
    <w:rsid w:val="3A657E30"/>
    <w:rsid w:val="3B9D177C"/>
    <w:rsid w:val="3DAC3EF8"/>
    <w:rsid w:val="3DD84CED"/>
    <w:rsid w:val="3E7A5DA4"/>
    <w:rsid w:val="3E950E30"/>
    <w:rsid w:val="3EBB0897"/>
    <w:rsid w:val="3F3643C1"/>
    <w:rsid w:val="3F3E6DD2"/>
    <w:rsid w:val="3F5E56C6"/>
    <w:rsid w:val="40297A82"/>
    <w:rsid w:val="40833636"/>
    <w:rsid w:val="40980764"/>
    <w:rsid w:val="410B53D9"/>
    <w:rsid w:val="41CE08E1"/>
    <w:rsid w:val="41E2613A"/>
    <w:rsid w:val="42BC4BDD"/>
    <w:rsid w:val="43234C5C"/>
    <w:rsid w:val="43544E16"/>
    <w:rsid w:val="444C3D3F"/>
    <w:rsid w:val="44ED72D0"/>
    <w:rsid w:val="45126D36"/>
    <w:rsid w:val="45B20519"/>
    <w:rsid w:val="46405B25"/>
    <w:rsid w:val="46E2098A"/>
    <w:rsid w:val="47017063"/>
    <w:rsid w:val="474B6530"/>
    <w:rsid w:val="476B0980"/>
    <w:rsid w:val="47C50090"/>
    <w:rsid w:val="47E46FC4"/>
    <w:rsid w:val="484F2050"/>
    <w:rsid w:val="4901159C"/>
    <w:rsid w:val="49492F43"/>
    <w:rsid w:val="4A282B58"/>
    <w:rsid w:val="4A630034"/>
    <w:rsid w:val="4A6A3171"/>
    <w:rsid w:val="4A9E0B88"/>
    <w:rsid w:val="4ACC5BD9"/>
    <w:rsid w:val="4B6B71A0"/>
    <w:rsid w:val="4B736055"/>
    <w:rsid w:val="4C60482B"/>
    <w:rsid w:val="4C6360CA"/>
    <w:rsid w:val="4CDD7C2A"/>
    <w:rsid w:val="4DDA685F"/>
    <w:rsid w:val="4E21448E"/>
    <w:rsid w:val="4E7B594C"/>
    <w:rsid w:val="4F365CE5"/>
    <w:rsid w:val="507C1E50"/>
    <w:rsid w:val="5086682B"/>
    <w:rsid w:val="509E1DC6"/>
    <w:rsid w:val="51C413B8"/>
    <w:rsid w:val="539179C0"/>
    <w:rsid w:val="53BB67EB"/>
    <w:rsid w:val="54492049"/>
    <w:rsid w:val="54837309"/>
    <w:rsid w:val="54BE2A37"/>
    <w:rsid w:val="553E1482"/>
    <w:rsid w:val="561C5C67"/>
    <w:rsid w:val="562B5EAA"/>
    <w:rsid w:val="56B37C4E"/>
    <w:rsid w:val="56FC7846"/>
    <w:rsid w:val="57627027"/>
    <w:rsid w:val="57633422"/>
    <w:rsid w:val="581110D0"/>
    <w:rsid w:val="589F0489"/>
    <w:rsid w:val="58EE31BF"/>
    <w:rsid w:val="59FD7B5D"/>
    <w:rsid w:val="5A517EA9"/>
    <w:rsid w:val="5ABA5A4E"/>
    <w:rsid w:val="5AFC7E15"/>
    <w:rsid w:val="5B8F47E5"/>
    <w:rsid w:val="5BA02E96"/>
    <w:rsid w:val="5C2C0286"/>
    <w:rsid w:val="5C3E620B"/>
    <w:rsid w:val="5C4B1054"/>
    <w:rsid w:val="5CBC3D00"/>
    <w:rsid w:val="5D1A0A26"/>
    <w:rsid w:val="5D8F6D1E"/>
    <w:rsid w:val="5E581806"/>
    <w:rsid w:val="5F053010"/>
    <w:rsid w:val="5F0C25F1"/>
    <w:rsid w:val="5F465B03"/>
    <w:rsid w:val="5FC52ECB"/>
    <w:rsid w:val="604007A4"/>
    <w:rsid w:val="60A46F85"/>
    <w:rsid w:val="60CE7B5E"/>
    <w:rsid w:val="60D61108"/>
    <w:rsid w:val="612B1454"/>
    <w:rsid w:val="61500EBB"/>
    <w:rsid w:val="61DC44FC"/>
    <w:rsid w:val="62620EA5"/>
    <w:rsid w:val="62712E97"/>
    <w:rsid w:val="62F53AC8"/>
    <w:rsid w:val="64520AA6"/>
    <w:rsid w:val="65C92FEA"/>
    <w:rsid w:val="66AD290B"/>
    <w:rsid w:val="67283D40"/>
    <w:rsid w:val="67957627"/>
    <w:rsid w:val="688431F8"/>
    <w:rsid w:val="68AA0EB0"/>
    <w:rsid w:val="68CF6B69"/>
    <w:rsid w:val="691D5B26"/>
    <w:rsid w:val="696279DD"/>
    <w:rsid w:val="69787B3F"/>
    <w:rsid w:val="69D56401"/>
    <w:rsid w:val="69F543AD"/>
    <w:rsid w:val="6A786D8C"/>
    <w:rsid w:val="6AB204F0"/>
    <w:rsid w:val="6B7632CC"/>
    <w:rsid w:val="6B9D4CFC"/>
    <w:rsid w:val="6C90660F"/>
    <w:rsid w:val="6CD429A0"/>
    <w:rsid w:val="6D602A51"/>
    <w:rsid w:val="6DB91B96"/>
    <w:rsid w:val="6E625D89"/>
    <w:rsid w:val="6EA63EC8"/>
    <w:rsid w:val="6F082DD5"/>
    <w:rsid w:val="6F190B3E"/>
    <w:rsid w:val="6F1E6154"/>
    <w:rsid w:val="6F773AB6"/>
    <w:rsid w:val="6F871F4B"/>
    <w:rsid w:val="6FCD36D6"/>
    <w:rsid w:val="70C90342"/>
    <w:rsid w:val="70D32F6E"/>
    <w:rsid w:val="713752AB"/>
    <w:rsid w:val="72850298"/>
    <w:rsid w:val="73B452D9"/>
    <w:rsid w:val="73CD639B"/>
    <w:rsid w:val="73E55492"/>
    <w:rsid w:val="742C30C1"/>
    <w:rsid w:val="742C4E6F"/>
    <w:rsid w:val="7439758C"/>
    <w:rsid w:val="75B25848"/>
    <w:rsid w:val="764A5A81"/>
    <w:rsid w:val="77784870"/>
    <w:rsid w:val="78650950"/>
    <w:rsid w:val="79425135"/>
    <w:rsid w:val="79FA5A10"/>
    <w:rsid w:val="7A9E283F"/>
    <w:rsid w:val="7AB931D5"/>
    <w:rsid w:val="7B1D3764"/>
    <w:rsid w:val="7BCB7664"/>
    <w:rsid w:val="7C3F3BAE"/>
    <w:rsid w:val="7C9B7036"/>
    <w:rsid w:val="7CC16371"/>
    <w:rsid w:val="7CCA16C9"/>
    <w:rsid w:val="7CF130FA"/>
    <w:rsid w:val="7DD02D0F"/>
    <w:rsid w:val="7DE1316F"/>
    <w:rsid w:val="7E1E7ECC"/>
    <w:rsid w:val="7E282B4B"/>
    <w:rsid w:val="7E292D8B"/>
    <w:rsid w:val="7EFE38AC"/>
    <w:rsid w:val="7FD4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1"/>
      <w:widowControl w:val="0"/>
      <w:spacing w:line="360" w:lineRule="auto"/>
      <w:ind w:firstLine="200"/>
      <w:jc w:val="both"/>
    </w:pPr>
    <w:rPr>
      <w:rFonts w:ascii="Times New Roman" w:hAnsi="Times New Roman" w:eastAsia="Arial Unicode MS" w:cs="Arial Unicode MS"/>
      <w:color w:val="000000"/>
      <w:kern w:val="2"/>
      <w:sz w:val="24"/>
      <w:szCs w:val="24"/>
      <w:lang w:val="en-US" w:eastAsia="zh-CN" w:bidi="ar-SA"/>
    </w:rPr>
  </w:style>
  <w:style w:type="paragraph" w:styleId="4">
    <w:name w:val="heading 1"/>
    <w:next w:val="1"/>
    <w:qFormat/>
    <w:uiPriority w:val="0"/>
    <w:pPr>
      <w:keepNext/>
      <w:keepLines/>
      <w:framePr w:wrap="around" w:vAnchor="margin" w:hAnchor="text" w:y="1"/>
      <w:widowControl w:val="0"/>
      <w:spacing w:before="340" w:after="330" w:line="578" w:lineRule="auto"/>
      <w:ind w:firstLine="200"/>
      <w:jc w:val="both"/>
      <w:outlineLvl w:val="0"/>
    </w:pPr>
    <w:rPr>
      <w:rFonts w:ascii="Times New Roman" w:hAnsi="Times New Roman" w:eastAsia="Times New Roman" w:cs="Times New Roman"/>
      <w:b/>
      <w:bCs/>
      <w:color w:val="000000"/>
      <w:kern w:val="44"/>
      <w:sz w:val="44"/>
      <w:szCs w:val="44"/>
      <w:lang w:val="en-US" w:eastAsia="zh-CN" w:bidi="ar-SA"/>
    </w:rPr>
  </w:style>
  <w:style w:type="paragraph" w:styleId="5">
    <w:name w:val="heading 2"/>
    <w:next w:val="1"/>
    <w:qFormat/>
    <w:uiPriority w:val="0"/>
    <w:pPr>
      <w:keepNext/>
      <w:keepLines/>
      <w:framePr w:wrap="around" w:vAnchor="margin" w:hAnchor="text" w:y="1"/>
      <w:widowControl w:val="0"/>
      <w:spacing w:before="260" w:after="260" w:line="416" w:lineRule="auto"/>
      <w:ind w:firstLine="200"/>
      <w:jc w:val="both"/>
      <w:outlineLvl w:val="1"/>
    </w:pPr>
    <w:rPr>
      <w:rFonts w:ascii="Calibri Light" w:hAnsi="Calibri Light" w:eastAsia="Calibri Light" w:cs="Calibri Light"/>
      <w:b/>
      <w:bCs/>
      <w:color w:val="000000"/>
      <w:sz w:val="32"/>
      <w:szCs w:val="32"/>
      <w:lang w:val="en-US" w:eastAsia="zh-CN" w:bidi="ar-SA"/>
    </w:rPr>
  </w:style>
  <w:style w:type="paragraph" w:styleId="6">
    <w:name w:val="heading 3"/>
    <w:next w:val="1"/>
    <w:qFormat/>
    <w:uiPriority w:val="9"/>
    <w:pPr>
      <w:keepNext/>
      <w:keepLines/>
      <w:framePr w:wrap="around" w:vAnchor="margin" w:hAnchor="text" w:y="3"/>
      <w:widowControl w:val="0"/>
      <w:spacing w:before="120" w:after="120" w:line="400" w:lineRule="exact"/>
      <w:ind w:firstLine="200"/>
      <w:jc w:val="both"/>
      <w:outlineLvl w:val="2"/>
    </w:pPr>
    <w:rPr>
      <w:rFonts w:ascii="仿宋" w:hAnsi="仿宋" w:eastAsia="仿宋" w:cs="仿宋"/>
      <w:b/>
      <w:bCs/>
      <w:color w:val="000000"/>
      <w:sz w:val="32"/>
      <w:szCs w:val="32"/>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pPr>
    <w:rPr>
      <w:sz w:val="24"/>
    </w:rPr>
  </w:style>
  <w:style w:type="paragraph" w:styleId="3">
    <w:name w:val="Body Text Indent"/>
    <w:basedOn w:val="1"/>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framePr w:wrap="around"/>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无间隔1"/>
    <w:qFormat/>
    <w:uiPriority w:val="0"/>
    <w:pPr>
      <w:framePr w:wrap="around" w:vAnchor="margin" w:hAnchor="text" w:y="1"/>
      <w:widowControl w:val="0"/>
      <w:spacing w:line="360" w:lineRule="auto"/>
      <w:ind w:firstLine="200"/>
      <w:jc w:val="both"/>
    </w:pPr>
    <w:rPr>
      <w:rFonts w:ascii="Times New Roman" w:hAnsi="Times New Roman" w:eastAsia="Times New Roman" w:cs="Times New Roman"/>
      <w:color w:val="000000"/>
      <w:kern w:val="2"/>
      <w:sz w:val="24"/>
      <w:szCs w:val="24"/>
      <w:lang w:val="en-US" w:eastAsia="zh-CN" w:bidi="ar-SA"/>
    </w:rPr>
  </w:style>
  <w:style w:type="character" w:customStyle="1" w:styleId="15">
    <w:name w:val="NormalCharacter"/>
    <w:semiHidden/>
    <w:qFormat/>
    <w:uiPriority w:val="0"/>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14220</Words>
  <Characters>15700</Characters>
  <Lines>0</Lines>
  <Paragraphs>0</Paragraphs>
  <TotalTime>36</TotalTime>
  <ScaleCrop>false</ScaleCrop>
  <LinksUpToDate>false</LinksUpToDate>
  <CharactersWithSpaces>15788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2023-07-05T02:57:00Z</dcterms:created>
  <dc:creator>长书</dc:creator>
  <cp:lastModifiedBy>梁佩仪</cp:lastModifiedBy>
  <cp:lastPrinted>2023-08-21T07:52:00Z</cp:lastPrinted>
  <dcterms:modified xsi:type="dcterms:W3CDTF">2023-08-23T09:31:06Z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1933DB270AE34B21BEEF4F7584B087A1_13</vt:lpwstr>
  </property>
</Properties>
</file>