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r>
        <w:rPr>
          <w:rFonts w:hint="eastAsia" w:eastAsia="方正小标宋简体"/>
          <w:sz w:val="44"/>
          <w:szCs w:val="44"/>
        </w:rPr>
        <w:t>东莞松山湖高新区软件和信息技术服务业产业集群试点培育专项资金之支持企业落户园区措施资金申报指南</w:t>
      </w:r>
    </w:p>
    <w:p>
      <w:pPr>
        <w:adjustRightInd w:val="0"/>
        <w:snapToGrid w:val="0"/>
        <w:spacing w:line="560" w:lineRule="exact"/>
        <w:rPr>
          <w:rFonts w:ascii="仿宋_GB2312" w:hAnsi="微软雅黑" w:eastAsia="仿宋_GB2312" w:cs="宋体"/>
          <w:kern w:val="0"/>
          <w:sz w:val="32"/>
          <w:szCs w:val="32"/>
        </w:rPr>
      </w:pPr>
      <w:bookmarkStart w:id="0" w:name="_Hlk147736313"/>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（二）《关于培育发展战略性产业集群的实施意见》（东府〔2021〕10号）。</w:t>
      </w:r>
    </w:p>
    <w:bookmarkEnd w:id="0"/>
    <w:p>
      <w:pPr>
        <w:adjustRightInd w:val="0"/>
        <w:snapToGrid w:val="0"/>
        <w:spacing w:line="560" w:lineRule="exact"/>
        <w:ind w:firstLine="640" w:firstLineChars="200"/>
        <w:rPr>
          <w:rFonts w:ascii="仿宋_GB2312" w:hAnsi="微软雅黑" w:eastAsia="仿宋_GB2312" w:cs="宋体"/>
          <w:kern w:val="0"/>
          <w:sz w:val="32"/>
          <w:szCs w:val="32"/>
        </w:rPr>
      </w:pPr>
      <w:bookmarkStart w:id="1" w:name="_Hlk147736601"/>
      <w:r>
        <w:rPr>
          <w:rFonts w:hint="eastAsia" w:ascii="仿宋_GB2312" w:hAnsi="微软雅黑" w:eastAsia="仿宋_GB2312" w:cs="宋体"/>
          <w:kern w:val="0"/>
          <w:sz w:val="32"/>
          <w:szCs w:val="32"/>
        </w:rPr>
        <w:t>（三）</w:t>
      </w:r>
      <w:bookmarkStart w:id="2" w:name="_Hlk147736758"/>
      <w:r>
        <w:rPr>
          <w:rFonts w:hint="eastAsia" w:ascii="仿宋_GB2312" w:hAnsi="微软雅黑" w:eastAsia="仿宋_GB2312" w:cs="宋体"/>
          <w:kern w:val="0"/>
          <w:sz w:val="32"/>
          <w:szCs w:val="32"/>
        </w:rPr>
        <w:t>《东莞市“3+1”产业集群试点培育专项资金管理暂行办法》（东工信〔2022〕126号）。</w:t>
      </w:r>
      <w:bookmarkEnd w:id="2"/>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（四）《东莞松山湖高新区软件和信息技术服务业产业集群试点培育发展专项资金管理办法》（松山湖发〔2023〕20号）。</w:t>
      </w:r>
    </w:p>
    <w:bookmarkEnd w:id="1"/>
    <w:p>
      <w:pPr>
        <w:adjustRightInd w:val="0"/>
        <w:snapToGrid w:val="0"/>
        <w:spacing w:line="560" w:lineRule="exact"/>
        <w:ind w:firstLine="707" w:firstLineChars="221"/>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 术服务业领域（《国民经济行业分类 (GB/T4754-2011)》中行业大类代码64、65）（如有最新版应以最新版为准）。</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三、资助标准</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一）对新引进的优质软信企业（限企业总部或一级子公司），2年内纳入松山湖规模以上软信行业企业，且实际在园区连续缴纳社会保险6个月以上（含）的人数达到50人的（含），给予100万元运营补贴；实际缴纳社会保险人数50人以上的，每增加50人，增加10万</w:t>
      </w:r>
      <w:r>
        <w:rPr>
          <w:rFonts w:hint="eastAsia" w:ascii="仿宋_GB2312" w:hAnsi="宋体" w:eastAsia="仿宋_GB2312"/>
          <w:kern w:val="0"/>
          <w:sz w:val="32"/>
          <w:szCs w:val="32"/>
          <w:highlight w:val="none"/>
        </w:rPr>
        <w:t>元运营补贴。每个项目最高补贴1000万元，按照50%的比例分两年发放。企业获得</w:t>
      </w:r>
      <w:r>
        <w:rPr>
          <w:rFonts w:hint="eastAsia" w:ascii="仿宋_GB2312" w:hAnsi="宋体" w:eastAsia="仿宋_GB2312"/>
          <w:kern w:val="0"/>
          <w:sz w:val="32"/>
          <w:szCs w:val="32"/>
          <w:highlight w:val="none"/>
          <w:lang w:val="en-US" w:eastAsia="zh-CN"/>
        </w:rPr>
        <w:t>首批</w:t>
      </w:r>
      <w:r>
        <w:rPr>
          <w:rFonts w:hint="eastAsia" w:ascii="仿宋_GB2312" w:hAnsi="宋体" w:eastAsia="仿宋_GB2312"/>
          <w:kern w:val="0"/>
          <w:sz w:val="32"/>
          <w:szCs w:val="32"/>
          <w:highlight w:val="none"/>
        </w:rPr>
        <w:t>运营补贴</w:t>
      </w:r>
      <w:r>
        <w:rPr>
          <w:rFonts w:hint="eastAsia" w:ascii="仿宋_GB2312" w:hAnsi="宋体" w:eastAsia="仿宋_GB2312"/>
          <w:kern w:val="0"/>
          <w:sz w:val="32"/>
          <w:szCs w:val="32"/>
          <w:highlight w:val="none"/>
          <w:lang w:val="en-US" w:eastAsia="zh-CN"/>
        </w:rPr>
        <w:t>资金</w:t>
      </w:r>
      <w:r>
        <w:rPr>
          <w:rFonts w:hint="eastAsia" w:ascii="仿宋_GB2312" w:hAnsi="宋体" w:eastAsia="仿宋_GB2312"/>
          <w:kern w:val="0"/>
          <w:sz w:val="32"/>
          <w:szCs w:val="32"/>
          <w:highlight w:val="none"/>
        </w:rPr>
        <w:t>后第二年，资格条件不</w:t>
      </w:r>
      <w:r>
        <w:rPr>
          <w:rFonts w:hint="eastAsia" w:ascii="仿宋_GB2312" w:hAnsi="宋体" w:eastAsia="仿宋_GB2312"/>
          <w:kern w:val="0"/>
          <w:sz w:val="32"/>
          <w:szCs w:val="32"/>
        </w:rPr>
        <w:t xml:space="preserve">能达到松山湖规模以上软信行业企业标准或实际缴纳社会保险人数低于50人的，停发当年运营补贴；企业获得运营补贴后第二年，实际缴纳社会保险人数发生变动的，按发生变动后的实际缴纳社会保险人数重新核定当年运营补贴的计算基数，并按当年的比例发放。 </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（二）对新引进的软信企业或新入驻“松山湖开发者村”的开发者企业2年内实际在园区连续缴纳社会保险6个月（含）以上的人数达到10人（含）以上的，给予5万元补贴。</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四、申请材料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3" w:name="_Hlk147938793"/>
      <w:r>
        <w:rPr>
          <w:rFonts w:hint="eastAsia" w:ascii="仿宋_GB2312" w:hAnsi="宋体" w:eastAsia="仿宋_GB2312"/>
          <w:kern w:val="0"/>
          <w:sz w:val="32"/>
          <w:szCs w:val="32"/>
        </w:rPr>
        <w:t>申报单位需同时提交基础申报材料和专项申报材料。</w:t>
      </w:r>
    </w:p>
    <w:bookmarkEnd w:id="3"/>
    <w:p>
      <w:pPr>
        <w:adjustRightInd w:val="0"/>
        <w:snapToGrid w:val="0"/>
        <w:spacing w:line="560" w:lineRule="exact"/>
        <w:ind w:firstLine="640" w:firstLineChars="200"/>
        <w:jc w:val="left"/>
        <w:rPr>
          <w:rFonts w:ascii="仿宋_GB2312" w:hAnsi="宋体" w:eastAsia="仿宋_GB2312"/>
          <w:kern w:val="0"/>
          <w:sz w:val="32"/>
          <w:szCs w:val="32"/>
        </w:rPr>
      </w:pPr>
      <w:bookmarkStart w:id="4" w:name="_Hlk147938744"/>
      <w:r>
        <w:rPr>
          <w:rFonts w:hint="eastAsia" w:ascii="仿宋_GB2312" w:hAnsi="宋体" w:eastAsia="仿宋_GB2312"/>
          <w:kern w:val="0"/>
          <w:sz w:val="32"/>
          <w:szCs w:val="32"/>
        </w:rPr>
        <w:t>（一）</w:t>
      </w:r>
      <w:bookmarkEnd w:id="4"/>
      <w:r>
        <w:rPr>
          <w:rFonts w:hint="eastAsia" w:ascii="仿宋_GB2312" w:hAnsi="宋体" w:eastAsia="仿宋_GB2312"/>
          <w:kern w:val="0"/>
          <w:sz w:val="32"/>
          <w:szCs w:val="32"/>
        </w:rPr>
        <w:t>基础材料：</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宋体" w:eastAsia="仿宋_GB2312"/>
          <w:kern w:val="0"/>
          <w:sz w:val="32"/>
          <w:szCs w:val="32"/>
        </w:rPr>
        <w:t>1、</w:t>
      </w:r>
      <w:r>
        <w:rPr>
          <w:rFonts w:hint="eastAsia" w:ascii="仿宋_GB2312" w:hAnsi="微软雅黑" w:eastAsia="仿宋_GB2312" w:cs="宋体"/>
          <w:color w:val="0C0C0C" w:themeColor="text1" w:themeTint="F2"/>
          <w:kern w:val="0"/>
          <w:sz w:val="32"/>
          <w:szCs w:val="32"/>
        </w:rPr>
        <w:t>提供申报表纸质文件原件（加盖公章）。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2、企业营业执照、事业单位法人证书或社会团体法人登记证书的复印件（加盖公章）。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3、法人代表身份证复印件（加盖公章）。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4、税务部门提供的单位上年度完税证明复印件。</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5、申报单位上一年的财务审计报告或财务报表复印件（加盖公章）。</w:t>
      </w:r>
    </w:p>
    <w:p>
      <w:pPr>
        <w:adjustRightInd w:val="0"/>
        <w:snapToGrid w:val="0"/>
        <w:spacing w:line="560" w:lineRule="exact"/>
        <w:ind w:firstLine="566" w:firstLineChars="177"/>
        <w:jc w:val="left"/>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6、信用中国（广东·东莞）（https://credit.dg.gov.cn/）下载无违法违规证明版信用报告。</w:t>
      </w:r>
    </w:p>
    <w:p>
      <w:pPr>
        <w:adjustRightInd w:val="0"/>
        <w:snapToGrid w:val="0"/>
        <w:spacing w:line="560" w:lineRule="exact"/>
        <w:ind w:firstLine="640" w:firstLineChars="200"/>
        <w:jc w:val="left"/>
        <w:rPr>
          <w:rFonts w:ascii="仿宋_GB2312" w:hAnsi="宋体" w:eastAsia="仿宋_GB2312"/>
          <w:kern w:val="0"/>
          <w:sz w:val="32"/>
          <w:szCs w:val="32"/>
        </w:rPr>
      </w:pPr>
      <w:bookmarkStart w:id="5" w:name="_Hlk147939674"/>
      <w:r>
        <w:rPr>
          <w:rFonts w:hint="eastAsia" w:ascii="仿宋_GB2312" w:hAnsi="宋体" w:eastAsia="仿宋_GB2312"/>
          <w:kern w:val="0"/>
          <w:sz w:val="32"/>
          <w:szCs w:val="32"/>
        </w:rPr>
        <w:t>（二）</w:t>
      </w:r>
      <w:bookmarkEnd w:id="5"/>
      <w:r>
        <w:rPr>
          <w:rFonts w:hint="eastAsia" w:ascii="仿宋_GB2312" w:hAnsi="宋体" w:eastAsia="仿宋_GB2312"/>
          <w:kern w:val="0"/>
          <w:sz w:val="32"/>
          <w:szCs w:val="32"/>
        </w:rPr>
        <w:t>专项材料：</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1、填写《支持企业落户园区措施资金申请表》（加盖公章）。</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2、公司人员2022年社保缴纳凭证（含人数及社保缴纳期限，提供2 年内实际在园区连续缴纳社会保险6个月（含）以上的人员社保及清单）。</w:t>
      </w:r>
    </w:p>
    <w:p>
      <w:pPr>
        <w:adjustRightInd w:val="0"/>
        <w:snapToGrid w:val="0"/>
        <w:spacing w:line="560" w:lineRule="exact"/>
        <w:ind w:firstLine="566" w:firstLineChars="177"/>
        <w:rPr>
          <w:rFonts w:ascii="仿宋_GB2312" w:hAnsi="宋体" w:eastAsia="仿宋_GB2312"/>
          <w:kern w:val="0"/>
          <w:szCs w:val="32"/>
        </w:rPr>
      </w:pPr>
      <w:r>
        <w:rPr>
          <w:rFonts w:hint="eastAsia" w:ascii="仿宋_GB2312" w:hAnsi="微软雅黑" w:eastAsia="仿宋_GB2312" w:cs="宋体"/>
          <w:color w:val="0C0C0C" w:themeColor="text1" w:themeTint="F2"/>
          <w:kern w:val="0"/>
          <w:sz w:val="32"/>
          <w:szCs w:val="32"/>
        </w:rPr>
        <w:t>3、入驻企业为优质软信企业的需要提供入驻企业</w:t>
      </w:r>
      <w:r>
        <w:rPr>
          <w:rFonts w:hint="eastAsia" w:ascii="仿宋_GB2312" w:hAnsi="宋体" w:eastAsia="仿宋_GB2312"/>
          <w:kern w:val="0"/>
          <w:szCs w:val="32"/>
        </w:rPr>
        <w:t>（</w:t>
      </w:r>
      <w:r>
        <w:rPr>
          <w:rFonts w:hint="eastAsia" w:ascii="仿宋_GB2312" w:hAnsi="宋体" w:eastAsia="仿宋_GB2312"/>
          <w:b/>
          <w:bCs/>
          <w:kern w:val="0"/>
          <w:szCs w:val="32"/>
        </w:rPr>
        <w:t>如入驻企业的母公司符合优质软信企业条件，则提供母公司的资质材料</w:t>
      </w:r>
      <w:r>
        <w:rPr>
          <w:rFonts w:hint="eastAsia" w:ascii="仿宋_GB2312" w:hAnsi="宋体" w:eastAsia="仿宋_GB2312"/>
          <w:kern w:val="0"/>
          <w:szCs w:val="32"/>
        </w:rPr>
        <w:t>）</w:t>
      </w:r>
      <w:r>
        <w:rPr>
          <w:rFonts w:hint="eastAsia" w:ascii="仿宋_GB2312" w:hAnsi="微软雅黑" w:eastAsia="仿宋_GB2312" w:cs="宋体"/>
          <w:color w:val="0C0C0C" w:themeColor="text1" w:themeTint="F2"/>
          <w:kern w:val="0"/>
          <w:sz w:val="32"/>
          <w:szCs w:val="32"/>
        </w:rPr>
        <w:t>的以下之一证明材料：</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3.1</w:t>
      </w:r>
      <w:r>
        <w:rPr>
          <w:rFonts w:hint="eastAsia" w:ascii="仿宋_GB2312" w:hAnsi="微软雅黑" w:eastAsia="仿宋_GB2312" w:cs="宋体"/>
          <w:kern w:val="0"/>
          <w:sz w:val="32"/>
          <w:szCs w:val="32"/>
        </w:rPr>
        <w:t>、上年度美国《财富》杂志发布的“世界</w:t>
      </w:r>
      <w:r>
        <w:rPr>
          <w:rFonts w:ascii="仿宋_GB2312" w:hAnsi="微软雅黑" w:eastAsia="仿宋_GB2312" w:cs="宋体"/>
          <w:kern w:val="0"/>
          <w:sz w:val="32"/>
          <w:szCs w:val="32"/>
        </w:rPr>
        <w:t xml:space="preserve">500 </w:t>
      </w:r>
      <w:r>
        <w:rPr>
          <w:rFonts w:hint="eastAsia" w:ascii="仿宋_GB2312" w:hAnsi="微软雅黑" w:eastAsia="仿宋_GB2312" w:cs="宋体"/>
          <w:kern w:val="0"/>
          <w:sz w:val="32"/>
          <w:szCs w:val="32"/>
        </w:rPr>
        <w:t>强”企业。</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3.2</w:t>
      </w:r>
      <w:r>
        <w:rPr>
          <w:rFonts w:hint="eastAsia" w:ascii="仿宋_GB2312" w:hAnsi="微软雅黑" w:eastAsia="仿宋_GB2312" w:cs="宋体"/>
          <w:kern w:val="0"/>
          <w:sz w:val="32"/>
          <w:szCs w:val="32"/>
        </w:rPr>
        <w:t>、上年度中国企业联合会与中国企业家协会联合发布的“中国企业</w:t>
      </w:r>
      <w:r>
        <w:rPr>
          <w:rFonts w:ascii="仿宋_GB2312" w:hAnsi="微软雅黑" w:eastAsia="仿宋_GB2312" w:cs="宋体"/>
          <w:kern w:val="0"/>
          <w:sz w:val="32"/>
          <w:szCs w:val="32"/>
        </w:rPr>
        <w:t xml:space="preserve">500 </w:t>
      </w:r>
      <w:r>
        <w:rPr>
          <w:rFonts w:hint="eastAsia" w:ascii="仿宋_GB2312" w:hAnsi="微软雅黑" w:eastAsia="仿宋_GB2312" w:cs="宋体"/>
          <w:kern w:val="0"/>
          <w:sz w:val="32"/>
          <w:szCs w:val="32"/>
        </w:rPr>
        <w:t>强”企业。</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3.3</w:t>
      </w:r>
      <w:r>
        <w:rPr>
          <w:rFonts w:hint="eastAsia" w:ascii="仿宋_GB2312" w:hAnsi="微软雅黑" w:eastAsia="仿宋_GB2312" w:cs="宋体"/>
          <w:kern w:val="0"/>
          <w:sz w:val="32"/>
          <w:szCs w:val="32"/>
        </w:rPr>
        <w:t>、上年度中国企业联合会与中国企业家协会联合发布的“中国服务业企业</w:t>
      </w:r>
      <w:r>
        <w:rPr>
          <w:rFonts w:ascii="仿宋_GB2312" w:hAnsi="微软雅黑" w:eastAsia="仿宋_GB2312" w:cs="宋体"/>
          <w:kern w:val="0"/>
          <w:sz w:val="32"/>
          <w:szCs w:val="32"/>
        </w:rPr>
        <w:t>500</w:t>
      </w:r>
      <w:r>
        <w:rPr>
          <w:rFonts w:hint="eastAsia" w:ascii="仿宋_GB2312" w:hAnsi="微软雅黑" w:eastAsia="仿宋_GB2312" w:cs="宋体"/>
          <w:kern w:val="0"/>
          <w:sz w:val="32"/>
          <w:szCs w:val="32"/>
        </w:rPr>
        <w:t>强”，全国工商联发布的“中国民营企业</w:t>
      </w:r>
      <w:r>
        <w:rPr>
          <w:rFonts w:ascii="仿宋_GB2312" w:hAnsi="微软雅黑" w:eastAsia="仿宋_GB2312" w:cs="宋体"/>
          <w:kern w:val="0"/>
          <w:sz w:val="32"/>
          <w:szCs w:val="32"/>
        </w:rPr>
        <w:t xml:space="preserve">500 </w:t>
      </w:r>
      <w:r>
        <w:rPr>
          <w:rFonts w:hint="eastAsia" w:ascii="仿宋_GB2312" w:hAnsi="微软雅黑" w:eastAsia="仿宋_GB2312" w:cs="宋体"/>
          <w:kern w:val="0"/>
          <w:sz w:val="32"/>
          <w:szCs w:val="32"/>
        </w:rPr>
        <w:t>强”企业。</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3.4</w:t>
      </w:r>
      <w:r>
        <w:rPr>
          <w:rFonts w:hint="eastAsia" w:ascii="仿宋_GB2312" w:hAnsi="微软雅黑" w:eastAsia="仿宋_GB2312" w:cs="宋体"/>
          <w:kern w:val="0"/>
          <w:sz w:val="32"/>
          <w:szCs w:val="32"/>
        </w:rPr>
        <w:t>、上年度工业和信息化部认定的“中国软件业务收入百强”企业，中国电子信息行业联合会发布的“软件和信息技术服务竞争力百强”企业或中国互联网协会发布的“中国互联网综合实力百强”企业。</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3.5</w:t>
      </w:r>
      <w:r>
        <w:rPr>
          <w:rFonts w:hint="eastAsia" w:ascii="仿宋_GB2312" w:hAnsi="微软雅黑" w:eastAsia="仿宋_GB2312" w:cs="宋体"/>
          <w:kern w:val="0"/>
          <w:sz w:val="32"/>
          <w:szCs w:val="32"/>
        </w:rPr>
        <w:t>、境内外上市企业。</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3.6</w:t>
      </w:r>
      <w:r>
        <w:rPr>
          <w:rFonts w:hint="eastAsia" w:ascii="仿宋_GB2312" w:hAnsi="微软雅黑" w:eastAsia="仿宋_GB2312" w:cs="宋体"/>
          <w:kern w:val="0"/>
          <w:sz w:val="32"/>
          <w:szCs w:val="32"/>
        </w:rPr>
        <w:t>、上年度国家工业和信息化部专精特新“小巨人”企业、国家工业和信息化部“单项冠军”示范企业。</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rPr>
        <w:t>4、对新引进的软信企业或新入驻“松山湖开发者村”开发者企业,另需提供能够证明落户松山湖的工商变更通知书或落户松山湖的通知证明材料。</w:t>
      </w:r>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bookmarkStart w:id="6" w:name="_Hlk147736931"/>
      <w:r>
        <w:rPr>
          <w:rFonts w:hint="eastAsia" w:ascii="仿宋_GB2312" w:hAnsi="微软雅黑" w:eastAsia="仿宋_GB2312" w:cs="宋体"/>
          <w:color w:val="0C0C0C" w:themeColor="text1" w:themeTint="F2"/>
          <w:kern w:val="0"/>
          <w:sz w:val="32"/>
          <w:szCs w:val="32"/>
          <w:lang w:val="en-US" w:eastAsia="zh-CN"/>
        </w:rPr>
        <w:t>5</w:t>
      </w:r>
      <w:r>
        <w:rPr>
          <w:rFonts w:hint="eastAsia" w:ascii="仿宋_GB2312" w:hAnsi="微软雅黑" w:eastAsia="仿宋_GB2312" w:cs="宋体"/>
          <w:color w:val="0C0C0C" w:themeColor="text1" w:themeTint="F2"/>
          <w:kern w:val="0"/>
          <w:sz w:val="32"/>
          <w:szCs w:val="32"/>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bookmarkEnd w:id="6"/>
    </w:p>
    <w:p>
      <w:pPr>
        <w:adjustRightInd w:val="0"/>
        <w:snapToGrid w:val="0"/>
        <w:spacing w:line="560" w:lineRule="exact"/>
        <w:ind w:firstLine="566" w:firstLineChars="177"/>
        <w:rPr>
          <w:rFonts w:ascii="仿宋_GB2312" w:hAnsi="微软雅黑" w:eastAsia="仿宋_GB2312" w:cs="宋体"/>
          <w:color w:val="0C0C0C" w:themeColor="text1" w:themeTint="F2"/>
          <w:kern w:val="0"/>
          <w:sz w:val="32"/>
          <w:szCs w:val="32"/>
        </w:rPr>
      </w:pPr>
      <w:r>
        <w:rPr>
          <w:rFonts w:hint="eastAsia" w:ascii="仿宋_GB2312" w:hAnsi="微软雅黑" w:eastAsia="仿宋_GB2312" w:cs="宋体"/>
          <w:color w:val="0C0C0C" w:themeColor="text1" w:themeTint="F2"/>
          <w:kern w:val="0"/>
          <w:sz w:val="32"/>
          <w:szCs w:val="32"/>
          <w:lang w:val="en-US" w:eastAsia="zh-CN"/>
        </w:rPr>
        <w:t>6</w:t>
      </w:r>
      <w:r>
        <w:rPr>
          <w:rFonts w:hint="eastAsia" w:ascii="仿宋_GB2312" w:hAnsi="微软雅黑" w:eastAsia="仿宋_GB2312" w:cs="宋体"/>
          <w:color w:val="0C0C0C" w:themeColor="text1" w:themeTint="F2"/>
          <w:kern w:val="0"/>
          <w:sz w:val="32"/>
          <w:szCs w:val="32"/>
        </w:rPr>
        <w:t>、申报主体为开发者企业以下之一证明材料：</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lang w:val="en-US" w:eastAsia="zh-CN"/>
        </w:rPr>
        <w:t>6</w:t>
      </w:r>
      <w:r>
        <w:rPr>
          <w:rFonts w:ascii="仿宋_GB2312" w:hAnsi="微软雅黑" w:eastAsia="仿宋_GB2312" w:cs="宋体"/>
          <w:kern w:val="0"/>
          <w:sz w:val="32"/>
          <w:szCs w:val="32"/>
        </w:rPr>
        <w:t>.1</w:t>
      </w:r>
      <w:r>
        <w:rPr>
          <w:rFonts w:hint="eastAsia" w:ascii="仿宋_GB2312" w:hAnsi="微软雅黑" w:eastAsia="仿宋_GB2312" w:cs="宋体"/>
          <w:kern w:val="0"/>
          <w:sz w:val="32"/>
          <w:szCs w:val="32"/>
        </w:rPr>
        <w:t>、适用于互联网和相关服务、软件和信息技术服务业领域（《国民经济行业分类(GB/T4754-2011) 》中行业大类代码64、65）的软信企业。</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lang w:val="en-US" w:eastAsia="zh-CN"/>
        </w:rPr>
        <w:t>6</w:t>
      </w:r>
      <w:r>
        <w:rPr>
          <w:rFonts w:ascii="仿宋_GB2312" w:hAnsi="微软雅黑" w:eastAsia="仿宋_GB2312" w:cs="宋体"/>
          <w:kern w:val="0"/>
          <w:sz w:val="32"/>
          <w:szCs w:val="32"/>
        </w:rPr>
        <w:t>.2</w:t>
      </w:r>
      <w:r>
        <w:rPr>
          <w:rFonts w:hint="eastAsia" w:ascii="仿宋_GB2312" w:hAnsi="微软雅黑" w:eastAsia="仿宋_GB2312" w:cs="宋体"/>
          <w:kern w:val="0"/>
          <w:sz w:val="32"/>
          <w:szCs w:val="32"/>
        </w:rPr>
        <w:t>、适用于具有开发能力，且满足以下条件之一的非软信企业：</w:t>
      </w:r>
    </w:p>
    <w:p>
      <w:pPr>
        <w:pStyle w:val="2"/>
        <w:ind w:firstLine="640" w:firstLineChars="200"/>
        <w:rPr>
          <w:rFonts w:ascii="仿宋_GB2312" w:hAnsi="宋体" w:eastAsia="仿宋_GB2312"/>
          <w:kern w:val="0"/>
          <w:szCs w:val="32"/>
        </w:rPr>
      </w:pPr>
      <w:r>
        <w:rPr>
          <w:rFonts w:hint="eastAsia" w:ascii="仿宋_GB2312" w:hAnsi="宋体" w:eastAsia="仿宋_GB2312"/>
          <w:kern w:val="0"/>
          <w:szCs w:val="32"/>
        </w:rPr>
        <w:t>（1）基于数字技术(如鸿蒙、昇腾、鲲鹏、容器/数据库等高阶云服务)构建并发布新的软硬件产品或版本的企业。</w:t>
      </w:r>
    </w:p>
    <w:p>
      <w:pPr>
        <w:pStyle w:val="2"/>
        <w:ind w:firstLine="640" w:firstLineChars="200"/>
        <w:rPr>
          <w:rFonts w:ascii="仿宋_GB2312" w:hAnsi="宋体" w:eastAsia="仿宋_GB2312"/>
          <w:kern w:val="0"/>
          <w:szCs w:val="32"/>
        </w:rPr>
      </w:pPr>
      <w:r>
        <w:rPr>
          <w:rFonts w:hint="eastAsia" w:ascii="仿宋_GB2312" w:hAnsi="宋体" w:eastAsia="仿宋_GB2312"/>
          <w:kern w:val="0"/>
          <w:szCs w:val="32"/>
        </w:rPr>
        <w:t>（2）拥有主流云厂家开发者认证（非入门级）或者职业认证不小于3人的企业。</w:t>
      </w:r>
    </w:p>
    <w:p>
      <w:pPr>
        <w:pStyle w:val="2"/>
        <w:ind w:firstLine="640" w:firstLineChars="200"/>
        <w:rPr>
          <w:rFonts w:ascii="仿宋_GB2312" w:hAnsi="宋体" w:eastAsia="仿宋_GB2312"/>
          <w:kern w:val="0"/>
          <w:szCs w:val="32"/>
        </w:rPr>
      </w:pPr>
      <w:r>
        <w:rPr>
          <w:rFonts w:hint="eastAsia" w:ascii="仿宋_GB2312" w:hAnsi="宋体" w:eastAsia="仿宋_GB2312"/>
          <w:kern w:val="0"/>
          <w:szCs w:val="32"/>
        </w:rPr>
        <w:t>（3）在 ICT 行业全国性大赛省赛中获得名次的企业。</w:t>
      </w:r>
    </w:p>
    <w:p>
      <w:pPr>
        <w:adjustRightInd w:val="0"/>
        <w:snapToGrid w:val="0"/>
        <w:spacing w:line="560" w:lineRule="exact"/>
        <w:rPr>
          <w:rFonts w:hint="eastAsia" w:ascii="黑体" w:hAnsi="黑体" w:eastAsia="黑体" w:cs="黑体"/>
          <w:kern w:val="0"/>
          <w:sz w:val="32"/>
          <w:szCs w:val="32"/>
        </w:rPr>
      </w:pPr>
      <w:r>
        <w:rPr>
          <w:rFonts w:hint="eastAsia" w:ascii="黑体" w:hAnsi="黑体" w:eastAsia="黑体" w:cs="黑体"/>
          <w:kern w:val="0"/>
          <w:sz w:val="32"/>
          <w:szCs w:val="32"/>
        </w:rPr>
        <w:t>五、申报及审批流程</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w:t>
      </w:r>
      <w:r>
        <w:rPr>
          <w:rFonts w:hint="eastAsia" w:ascii="仿宋_GB2312" w:hAnsi="宋体" w:eastAsia="仿宋_GB2312"/>
          <w:kern w:val="0"/>
          <w:sz w:val="32"/>
          <w:szCs w:val="32"/>
          <w:lang w:eastAsia="zh-CN"/>
        </w:rPr>
        <w:t>登录</w:t>
      </w:r>
      <w:r>
        <w:rPr>
          <w:rFonts w:hint="eastAsia" w:ascii="仿宋_GB2312" w:hAnsi="宋体" w:eastAsia="仿宋_GB2312"/>
          <w:kern w:val="0"/>
          <w:sz w:val="32"/>
          <w:szCs w:val="32"/>
        </w:rPr>
        <w:t>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纸质材料装订要求：材料一式三份，编制材料目录，并按目录顺序排列各项材料（资助申请表放前面），采用A4纸双面打印并装订成册（胶装、线装或打孔装），整册加盖骑缝章。</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（四）项目评审。松山湖工业和信息化局根据松山湖管委会审批结果，向松山湖财政国资金融局提交资助资金拨付资料，松山湖财政国资金融局按程序及时拨付资助资金。</w:t>
      </w: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w:t>
      </w:r>
      <w:bookmarkStart w:id="7" w:name="_Hlk147737989"/>
      <w:r>
        <w:rPr>
          <w:rFonts w:hint="eastAsia" w:ascii="黑体" w:hAnsi="黑体" w:eastAsia="黑体" w:cs="黑体"/>
          <w:kern w:val="0"/>
          <w:sz w:val="32"/>
          <w:szCs w:val="32"/>
        </w:rPr>
        <w:t>咨询电话</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（二）松山湖软件产业统计监测系统咨询电话：</w:t>
      </w:r>
      <w:r>
        <w:rPr>
          <w:rFonts w:ascii="仿宋_GB2312" w:hAnsi="微软雅黑" w:eastAsia="仿宋_GB2312" w:cs="宋体"/>
          <w:kern w:val="0"/>
          <w:sz w:val="32"/>
          <w:szCs w:val="32"/>
        </w:rPr>
        <w:t>13751176297</w:t>
      </w:r>
      <w:r>
        <w:rPr>
          <w:rFonts w:hint="eastAsia" w:ascii="仿宋_GB2312" w:hAnsi="微软雅黑" w:eastAsia="仿宋_GB2312" w:cs="宋体"/>
          <w:kern w:val="0"/>
          <w:sz w:val="32"/>
          <w:szCs w:val="32"/>
        </w:rPr>
        <w:t>。</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（三）申报系统技术支持电话：0769-23078820。</w:t>
      </w:r>
    </w:p>
    <w:bookmarkEnd w:id="7"/>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七、注意事项</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（二）本指南仅对本批次申报受理工作有效。</w:t>
      </w:r>
    </w:p>
    <w:p>
      <w:pPr>
        <w:adjustRightInd w:val="0"/>
        <w:snapToGrid w:val="0"/>
        <w:spacing w:line="560" w:lineRule="exact"/>
        <w:ind w:firstLine="640" w:firstLineChars="200"/>
        <w:rPr>
          <w:rFonts w:ascii="仿宋_GB2312" w:hAnsi="微软雅黑" w:eastAsia="仿宋_GB2312" w:cs="宋体"/>
          <w:kern w:val="0"/>
          <w:sz w:val="32"/>
          <w:szCs w:val="32"/>
        </w:rPr>
      </w:pPr>
      <w:bookmarkStart w:id="8" w:name="_Hlk147825329"/>
      <w:r>
        <w:rPr>
          <w:rFonts w:hint="eastAsia" w:ascii="仿宋_GB2312" w:hAnsi="微软雅黑" w:eastAsia="仿宋_GB2312" w:cs="宋体"/>
          <w:kern w:val="0"/>
          <w:sz w:val="32"/>
          <w:szCs w:val="32"/>
        </w:rPr>
        <w:t>（三）本指南中所述软信企业是指申报企业的行业性质是软件和信息技术服务业，其中，规上企业需已纳入统计联网直报系统的互联网和相关服务（国民经济行业分类64）、软件和信息技术服务业（国民经济行业分类65）统计范围。非规上企业工商登记的经营范围需包含软件开发、信息技术服务、信息技术咨询服务等与软件信息技术服务相关的业务并且软件业务收入（</w:t>
      </w:r>
      <w:r>
        <w:rPr>
          <w:rFonts w:hint="eastAsia" w:eastAsia="仿宋_GB2312"/>
          <w:sz w:val="24"/>
          <w:szCs w:val="24"/>
        </w:rPr>
        <w:t>软件业务收入是指软件和信息技术服务业企业在报告期从事软件产品、信息技术服务、信息安全、嵌入式系统软件四项业务产生的销售收入的合计。</w:t>
      </w:r>
      <w:r>
        <w:rPr>
          <w:rFonts w:hint="eastAsia" w:ascii="仿宋_GB2312" w:hAnsi="微软雅黑" w:eastAsia="仿宋_GB2312" w:cs="宋体"/>
          <w:kern w:val="0"/>
          <w:sz w:val="32"/>
          <w:szCs w:val="32"/>
        </w:rPr>
        <w:t>）占企业年营业收入达30%。</w:t>
      </w:r>
    </w:p>
    <w:bookmarkEnd w:id="8"/>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（四）优质软信企业，是指软信企业符合以下</w:t>
      </w:r>
      <w:r>
        <w:rPr>
          <w:rFonts w:ascii="仿宋_GB2312" w:hAnsi="宋体" w:eastAsia="仿宋_GB2312"/>
          <w:kern w:val="0"/>
          <w:sz w:val="32"/>
          <w:szCs w:val="32"/>
        </w:rPr>
        <w:t>6</w:t>
      </w:r>
      <w:r>
        <w:rPr>
          <w:rFonts w:hint="eastAsia" w:ascii="仿宋_GB2312" w:hAnsi="宋体" w:eastAsia="仿宋_GB2312"/>
          <w:kern w:val="0"/>
          <w:sz w:val="32"/>
          <w:szCs w:val="32"/>
        </w:rPr>
        <w:t xml:space="preserve">个条件之一： </w:t>
      </w:r>
    </w:p>
    <w:p>
      <w:pPr>
        <w:adjustRightInd w:val="0"/>
        <w:snapToGrid w:val="0"/>
        <w:spacing w:line="560" w:lineRule="exact"/>
        <w:ind w:firstLine="1027" w:firstLineChars="321"/>
        <w:jc w:val="left"/>
        <w:rPr>
          <w:rFonts w:ascii="仿宋_GB2312" w:hAnsi="宋体" w:eastAsia="仿宋_GB2312"/>
          <w:kern w:val="0"/>
          <w:sz w:val="32"/>
          <w:szCs w:val="32"/>
        </w:rPr>
      </w:pPr>
      <w:r>
        <w:rPr>
          <w:rFonts w:ascii="仿宋_GB2312" w:hAnsi="宋体" w:eastAsia="仿宋_GB2312"/>
          <w:kern w:val="0"/>
          <w:sz w:val="32"/>
          <w:szCs w:val="32"/>
        </w:rPr>
        <w:t>1.</w:t>
      </w:r>
      <w:r>
        <w:rPr>
          <w:rFonts w:hint="eastAsia" w:ascii="仿宋_GB2312" w:hAnsi="宋体" w:eastAsia="仿宋_GB2312"/>
          <w:kern w:val="0"/>
          <w:sz w:val="32"/>
          <w:szCs w:val="32"/>
        </w:rPr>
        <w:t>上年度美国《财富》杂志发布的</w:t>
      </w:r>
      <w:r>
        <w:rPr>
          <w:rFonts w:ascii="仿宋_GB2312" w:hAnsi="宋体" w:eastAsia="仿宋_GB2312"/>
          <w:kern w:val="0"/>
          <w:sz w:val="32"/>
          <w:szCs w:val="32"/>
        </w:rPr>
        <w:t>“</w:t>
      </w:r>
      <w:r>
        <w:rPr>
          <w:rFonts w:hint="eastAsia" w:ascii="仿宋_GB2312" w:hAnsi="宋体" w:eastAsia="仿宋_GB2312"/>
          <w:kern w:val="0"/>
          <w:sz w:val="32"/>
          <w:szCs w:val="32"/>
        </w:rPr>
        <w:t xml:space="preserve">世界 </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w:t>
      </w:r>
      <w:r>
        <w:rPr>
          <w:rFonts w:ascii="仿宋_GB2312" w:hAnsi="宋体" w:eastAsia="仿宋_GB2312"/>
          <w:kern w:val="0"/>
          <w:sz w:val="32"/>
          <w:szCs w:val="32"/>
        </w:rPr>
        <w:t>”</w:t>
      </w:r>
      <w:r>
        <w:rPr>
          <w:rFonts w:hint="eastAsia" w:ascii="仿宋_GB2312" w:hAnsi="宋体" w:eastAsia="仿宋_GB2312"/>
          <w:kern w:val="0"/>
          <w:sz w:val="32"/>
          <w:szCs w:val="32"/>
        </w:rPr>
        <w:t xml:space="preserve">企业。 </w:t>
      </w:r>
    </w:p>
    <w:p>
      <w:pPr>
        <w:adjustRightInd w:val="0"/>
        <w:snapToGrid w:val="0"/>
        <w:spacing w:line="560" w:lineRule="exact"/>
        <w:ind w:firstLine="1027" w:firstLineChars="321"/>
        <w:jc w:val="left"/>
        <w:rPr>
          <w:rFonts w:ascii="仿宋_GB2312" w:hAnsi="宋体" w:eastAsia="仿宋_GB2312"/>
          <w:kern w:val="0"/>
          <w:sz w:val="32"/>
          <w:szCs w:val="32"/>
        </w:rPr>
      </w:pPr>
      <w:r>
        <w:rPr>
          <w:rFonts w:ascii="仿宋_GB2312" w:hAnsi="宋体" w:eastAsia="仿宋_GB2312"/>
          <w:kern w:val="0"/>
          <w:sz w:val="32"/>
          <w:szCs w:val="32"/>
        </w:rPr>
        <w:t>2.</w:t>
      </w:r>
      <w:r>
        <w:rPr>
          <w:rFonts w:hint="eastAsia" w:ascii="仿宋_GB2312" w:hAnsi="宋体" w:eastAsia="仿宋_GB2312"/>
          <w:kern w:val="0"/>
          <w:sz w:val="32"/>
          <w:szCs w:val="32"/>
        </w:rPr>
        <w:t>上年度中国企业联合会与中国企业家协会联合发布的</w:t>
      </w:r>
      <w:r>
        <w:rPr>
          <w:rFonts w:ascii="仿宋_GB2312" w:hAnsi="宋体" w:eastAsia="仿宋_GB2312"/>
          <w:kern w:val="0"/>
          <w:sz w:val="32"/>
          <w:szCs w:val="32"/>
        </w:rPr>
        <w:t>“</w:t>
      </w:r>
      <w:r>
        <w:rPr>
          <w:rFonts w:hint="eastAsia" w:ascii="仿宋_GB2312" w:hAnsi="宋体" w:eastAsia="仿宋_GB2312"/>
          <w:kern w:val="0"/>
          <w:sz w:val="32"/>
          <w:szCs w:val="32"/>
        </w:rPr>
        <w:t>中国企业</w:t>
      </w:r>
      <w:r>
        <w:rPr>
          <w:rFonts w:ascii="仿宋_GB2312" w:hAnsi="宋体" w:eastAsia="仿宋_GB2312"/>
          <w:kern w:val="0"/>
          <w:sz w:val="32"/>
          <w:szCs w:val="32"/>
        </w:rPr>
        <w:t xml:space="preserve">500 </w:t>
      </w:r>
      <w:r>
        <w:rPr>
          <w:rFonts w:hint="eastAsia" w:ascii="仿宋_GB2312" w:hAnsi="宋体" w:eastAsia="仿宋_GB2312"/>
          <w:kern w:val="0"/>
          <w:sz w:val="32"/>
          <w:szCs w:val="32"/>
        </w:rPr>
        <w:t>强</w:t>
      </w:r>
      <w:r>
        <w:rPr>
          <w:rFonts w:ascii="仿宋_GB2312" w:hAnsi="宋体" w:eastAsia="仿宋_GB2312"/>
          <w:kern w:val="0"/>
          <w:sz w:val="32"/>
          <w:szCs w:val="32"/>
        </w:rPr>
        <w:t>”</w:t>
      </w:r>
      <w:r>
        <w:rPr>
          <w:rFonts w:hint="eastAsia" w:ascii="仿宋_GB2312" w:hAnsi="宋体" w:eastAsia="仿宋_GB2312"/>
          <w:kern w:val="0"/>
          <w:sz w:val="32"/>
          <w:szCs w:val="32"/>
        </w:rPr>
        <w:t xml:space="preserve">企业。 </w:t>
      </w:r>
    </w:p>
    <w:p>
      <w:pPr>
        <w:adjustRightInd w:val="0"/>
        <w:snapToGrid w:val="0"/>
        <w:spacing w:line="560" w:lineRule="exact"/>
        <w:ind w:firstLine="1027" w:firstLineChars="321"/>
        <w:jc w:val="left"/>
        <w:rPr>
          <w:rFonts w:ascii="仿宋_GB2312" w:hAnsi="宋体" w:eastAsia="仿宋_GB2312"/>
          <w:kern w:val="0"/>
          <w:sz w:val="32"/>
          <w:szCs w:val="32"/>
        </w:rPr>
      </w:pPr>
      <w:r>
        <w:rPr>
          <w:rFonts w:ascii="仿宋_GB2312" w:hAnsi="宋体" w:eastAsia="仿宋_GB2312"/>
          <w:kern w:val="0"/>
          <w:sz w:val="32"/>
          <w:szCs w:val="32"/>
        </w:rPr>
        <w:t>3.</w:t>
      </w:r>
      <w:r>
        <w:rPr>
          <w:rFonts w:hint="eastAsia" w:ascii="仿宋_GB2312" w:hAnsi="宋体" w:eastAsia="仿宋_GB2312"/>
          <w:kern w:val="0"/>
          <w:sz w:val="32"/>
          <w:szCs w:val="32"/>
        </w:rPr>
        <w:t>上年度中国企业联合会与中国企业家协会联合发布的</w:t>
      </w:r>
      <w:r>
        <w:rPr>
          <w:rFonts w:ascii="仿宋_GB2312" w:hAnsi="宋体" w:eastAsia="仿宋_GB2312"/>
          <w:kern w:val="0"/>
          <w:sz w:val="32"/>
          <w:szCs w:val="32"/>
        </w:rPr>
        <w:t>“</w:t>
      </w:r>
      <w:r>
        <w:rPr>
          <w:rFonts w:hint="eastAsia" w:ascii="仿宋_GB2312" w:hAnsi="宋体" w:eastAsia="仿宋_GB2312"/>
          <w:kern w:val="0"/>
          <w:sz w:val="32"/>
          <w:szCs w:val="32"/>
        </w:rPr>
        <w:t>中国服务业企业</w:t>
      </w:r>
      <w:r>
        <w:rPr>
          <w:rFonts w:ascii="仿宋_GB2312" w:hAnsi="宋体" w:eastAsia="仿宋_GB2312"/>
          <w:kern w:val="0"/>
          <w:sz w:val="32"/>
          <w:szCs w:val="32"/>
        </w:rPr>
        <w:t>500</w:t>
      </w:r>
      <w:r>
        <w:rPr>
          <w:rFonts w:hint="eastAsia" w:ascii="仿宋_GB2312" w:hAnsi="宋体" w:eastAsia="仿宋_GB2312"/>
          <w:kern w:val="0"/>
          <w:sz w:val="32"/>
          <w:szCs w:val="32"/>
        </w:rPr>
        <w:t>强</w:t>
      </w:r>
      <w:r>
        <w:rPr>
          <w:rFonts w:ascii="仿宋_GB2312" w:hAnsi="宋体" w:eastAsia="仿宋_GB2312"/>
          <w:kern w:val="0"/>
          <w:sz w:val="32"/>
          <w:szCs w:val="32"/>
        </w:rPr>
        <w:t>”</w:t>
      </w:r>
      <w:r>
        <w:rPr>
          <w:rFonts w:hint="eastAsia" w:ascii="仿宋_GB2312" w:hAnsi="宋体" w:eastAsia="仿宋_GB2312"/>
          <w:kern w:val="0"/>
          <w:sz w:val="32"/>
          <w:szCs w:val="32"/>
        </w:rPr>
        <w:t>，全国工商联发布的</w:t>
      </w:r>
      <w:r>
        <w:rPr>
          <w:rFonts w:ascii="仿宋_GB2312" w:hAnsi="宋体" w:eastAsia="仿宋_GB2312"/>
          <w:kern w:val="0"/>
          <w:sz w:val="32"/>
          <w:szCs w:val="32"/>
        </w:rPr>
        <w:t>“</w:t>
      </w:r>
      <w:r>
        <w:rPr>
          <w:rFonts w:hint="eastAsia" w:ascii="仿宋_GB2312" w:hAnsi="宋体" w:eastAsia="仿宋_GB2312"/>
          <w:kern w:val="0"/>
          <w:sz w:val="32"/>
          <w:szCs w:val="32"/>
        </w:rPr>
        <w:t>中国民营企业</w:t>
      </w:r>
      <w:r>
        <w:rPr>
          <w:rFonts w:ascii="仿宋_GB2312" w:hAnsi="宋体" w:eastAsia="仿宋_GB2312"/>
          <w:kern w:val="0"/>
          <w:sz w:val="32"/>
          <w:szCs w:val="32"/>
        </w:rPr>
        <w:t>500</w:t>
      </w:r>
      <w:r>
        <w:rPr>
          <w:rFonts w:hint="eastAsia" w:ascii="仿宋_GB2312" w:hAnsi="宋体" w:eastAsia="仿宋_GB2312"/>
          <w:kern w:val="0"/>
          <w:sz w:val="32"/>
          <w:szCs w:val="32"/>
        </w:rPr>
        <w:t>强</w:t>
      </w:r>
      <w:r>
        <w:rPr>
          <w:rFonts w:ascii="仿宋_GB2312" w:hAnsi="宋体" w:eastAsia="仿宋_GB2312"/>
          <w:kern w:val="0"/>
          <w:sz w:val="32"/>
          <w:szCs w:val="32"/>
        </w:rPr>
        <w:t>”</w:t>
      </w:r>
      <w:r>
        <w:rPr>
          <w:rFonts w:hint="eastAsia" w:ascii="仿宋_GB2312" w:hAnsi="宋体" w:eastAsia="仿宋_GB2312"/>
          <w:kern w:val="0"/>
          <w:sz w:val="32"/>
          <w:szCs w:val="32"/>
        </w:rPr>
        <w:t xml:space="preserve">企业。 </w:t>
      </w:r>
    </w:p>
    <w:p>
      <w:pPr>
        <w:adjustRightInd w:val="0"/>
        <w:snapToGrid w:val="0"/>
        <w:spacing w:line="560" w:lineRule="exact"/>
        <w:ind w:firstLine="1027" w:firstLineChars="321"/>
        <w:jc w:val="left"/>
        <w:rPr>
          <w:rFonts w:ascii="仿宋_GB2312" w:hAnsi="宋体" w:eastAsia="仿宋_GB2312"/>
          <w:kern w:val="0"/>
          <w:sz w:val="32"/>
          <w:szCs w:val="32"/>
        </w:rPr>
      </w:pPr>
      <w:r>
        <w:rPr>
          <w:rFonts w:ascii="仿宋_GB2312" w:hAnsi="宋体" w:eastAsia="仿宋_GB2312"/>
          <w:kern w:val="0"/>
          <w:sz w:val="32"/>
          <w:szCs w:val="32"/>
        </w:rPr>
        <w:t>4.</w:t>
      </w:r>
      <w:r>
        <w:rPr>
          <w:rFonts w:hint="eastAsia" w:ascii="仿宋_GB2312" w:hAnsi="宋体" w:eastAsia="仿宋_GB2312"/>
          <w:kern w:val="0"/>
          <w:sz w:val="32"/>
          <w:szCs w:val="32"/>
        </w:rPr>
        <w:t>上年度工业和信息化部认定的</w:t>
      </w:r>
      <w:r>
        <w:rPr>
          <w:rFonts w:ascii="仿宋_GB2312" w:hAnsi="宋体" w:eastAsia="仿宋_GB2312"/>
          <w:kern w:val="0"/>
          <w:sz w:val="32"/>
          <w:szCs w:val="32"/>
        </w:rPr>
        <w:t>“</w:t>
      </w:r>
      <w:r>
        <w:rPr>
          <w:rFonts w:hint="eastAsia" w:ascii="仿宋_GB2312" w:hAnsi="宋体" w:eastAsia="仿宋_GB2312"/>
          <w:kern w:val="0"/>
          <w:sz w:val="32"/>
          <w:szCs w:val="32"/>
        </w:rPr>
        <w:t>中国软件业务收入百强</w:t>
      </w:r>
      <w:r>
        <w:rPr>
          <w:rFonts w:ascii="仿宋_GB2312" w:hAnsi="宋体" w:eastAsia="仿宋_GB2312"/>
          <w:kern w:val="0"/>
          <w:sz w:val="32"/>
          <w:szCs w:val="32"/>
        </w:rPr>
        <w:t>”</w:t>
      </w:r>
      <w:r>
        <w:rPr>
          <w:rFonts w:hint="eastAsia" w:ascii="仿宋_GB2312" w:hAnsi="宋体" w:eastAsia="仿宋_GB2312"/>
          <w:kern w:val="0"/>
          <w:sz w:val="32"/>
          <w:szCs w:val="32"/>
        </w:rPr>
        <w:t>企业，中国电子信息行业联合会发布的</w:t>
      </w:r>
      <w:r>
        <w:rPr>
          <w:rFonts w:ascii="仿宋_GB2312" w:hAnsi="宋体" w:eastAsia="仿宋_GB2312"/>
          <w:kern w:val="0"/>
          <w:sz w:val="32"/>
          <w:szCs w:val="32"/>
        </w:rPr>
        <w:t>“</w:t>
      </w:r>
      <w:r>
        <w:rPr>
          <w:rFonts w:hint="eastAsia" w:ascii="仿宋_GB2312" w:hAnsi="宋体" w:eastAsia="仿宋_GB2312"/>
          <w:kern w:val="0"/>
          <w:sz w:val="32"/>
          <w:szCs w:val="32"/>
        </w:rPr>
        <w:t>软件和信息技术服务竞争力百强</w:t>
      </w:r>
      <w:r>
        <w:rPr>
          <w:rFonts w:ascii="仿宋_GB2312" w:hAnsi="宋体" w:eastAsia="仿宋_GB2312"/>
          <w:kern w:val="0"/>
          <w:sz w:val="32"/>
          <w:szCs w:val="32"/>
        </w:rPr>
        <w:t>”</w:t>
      </w:r>
      <w:r>
        <w:rPr>
          <w:rFonts w:hint="eastAsia" w:ascii="仿宋_GB2312" w:hAnsi="宋体" w:eastAsia="仿宋_GB2312"/>
          <w:kern w:val="0"/>
          <w:sz w:val="32"/>
          <w:szCs w:val="32"/>
        </w:rPr>
        <w:t>企业或中国互联网协会发布的</w:t>
      </w:r>
      <w:r>
        <w:rPr>
          <w:rFonts w:ascii="仿宋_GB2312" w:hAnsi="宋体" w:eastAsia="仿宋_GB2312"/>
          <w:kern w:val="0"/>
          <w:sz w:val="32"/>
          <w:szCs w:val="32"/>
        </w:rPr>
        <w:t>“</w:t>
      </w:r>
      <w:r>
        <w:rPr>
          <w:rFonts w:hint="eastAsia" w:ascii="仿宋_GB2312" w:hAnsi="宋体" w:eastAsia="仿宋_GB2312"/>
          <w:kern w:val="0"/>
          <w:sz w:val="32"/>
          <w:szCs w:val="32"/>
        </w:rPr>
        <w:t>中国互联网综合实力百强</w:t>
      </w:r>
      <w:r>
        <w:rPr>
          <w:rFonts w:ascii="仿宋_GB2312" w:hAnsi="宋体" w:eastAsia="仿宋_GB2312"/>
          <w:kern w:val="0"/>
          <w:sz w:val="32"/>
          <w:szCs w:val="32"/>
        </w:rPr>
        <w:t>”</w:t>
      </w:r>
      <w:r>
        <w:rPr>
          <w:rFonts w:hint="eastAsia" w:ascii="仿宋_GB2312" w:hAnsi="宋体" w:eastAsia="仿宋_GB2312"/>
          <w:kern w:val="0"/>
          <w:sz w:val="32"/>
          <w:szCs w:val="32"/>
        </w:rPr>
        <w:t xml:space="preserve">企业。 </w:t>
      </w:r>
    </w:p>
    <w:p>
      <w:pPr>
        <w:adjustRightInd w:val="0"/>
        <w:snapToGrid w:val="0"/>
        <w:spacing w:line="560" w:lineRule="exact"/>
        <w:ind w:firstLine="1027" w:firstLineChars="321"/>
        <w:jc w:val="left"/>
        <w:rPr>
          <w:rFonts w:ascii="仿宋_GB2312" w:hAnsi="宋体" w:eastAsia="仿宋_GB2312"/>
          <w:kern w:val="0"/>
          <w:sz w:val="32"/>
          <w:szCs w:val="32"/>
        </w:rPr>
      </w:pPr>
      <w:r>
        <w:rPr>
          <w:rFonts w:ascii="仿宋_GB2312" w:hAnsi="宋体" w:eastAsia="仿宋_GB2312"/>
          <w:kern w:val="0"/>
          <w:sz w:val="32"/>
          <w:szCs w:val="32"/>
        </w:rPr>
        <w:t>5.</w:t>
      </w:r>
      <w:r>
        <w:rPr>
          <w:rFonts w:hint="eastAsia" w:ascii="仿宋_GB2312" w:hAnsi="宋体" w:eastAsia="仿宋_GB2312"/>
          <w:kern w:val="0"/>
          <w:sz w:val="32"/>
          <w:szCs w:val="32"/>
        </w:rPr>
        <w:t xml:space="preserve">境内外上市企业。 </w:t>
      </w:r>
    </w:p>
    <w:p>
      <w:pPr>
        <w:adjustRightInd w:val="0"/>
        <w:snapToGrid w:val="0"/>
        <w:spacing w:line="560" w:lineRule="exact"/>
        <w:ind w:firstLine="1027" w:firstLineChars="321"/>
        <w:jc w:val="left"/>
        <w:rPr>
          <w:rFonts w:ascii="仿宋_GB2312" w:hAnsi="宋体" w:eastAsia="仿宋_GB2312"/>
          <w:kern w:val="0"/>
          <w:sz w:val="32"/>
          <w:szCs w:val="32"/>
        </w:rPr>
      </w:pPr>
      <w:r>
        <w:rPr>
          <w:rFonts w:ascii="仿宋_GB2312" w:hAnsi="宋体" w:eastAsia="仿宋_GB2312"/>
          <w:kern w:val="0"/>
          <w:sz w:val="32"/>
          <w:szCs w:val="32"/>
        </w:rPr>
        <w:t>6.</w:t>
      </w:r>
      <w:r>
        <w:rPr>
          <w:rFonts w:hint="eastAsia" w:ascii="仿宋_GB2312" w:hAnsi="宋体" w:eastAsia="仿宋_GB2312"/>
          <w:kern w:val="0"/>
          <w:sz w:val="32"/>
          <w:szCs w:val="32"/>
        </w:rPr>
        <w:t>上年度国家工业和信息化部专精特新</w:t>
      </w:r>
      <w:r>
        <w:rPr>
          <w:rFonts w:ascii="仿宋_GB2312" w:hAnsi="宋体" w:eastAsia="仿宋_GB2312"/>
          <w:kern w:val="0"/>
          <w:sz w:val="32"/>
          <w:szCs w:val="32"/>
        </w:rPr>
        <w:t>“</w:t>
      </w:r>
      <w:r>
        <w:rPr>
          <w:rFonts w:hint="eastAsia" w:ascii="仿宋_GB2312" w:hAnsi="宋体" w:eastAsia="仿宋_GB2312"/>
          <w:kern w:val="0"/>
          <w:sz w:val="32"/>
          <w:szCs w:val="32"/>
        </w:rPr>
        <w:t>小巨人</w:t>
      </w:r>
      <w:r>
        <w:rPr>
          <w:rFonts w:ascii="仿宋_GB2312" w:hAnsi="宋体" w:eastAsia="仿宋_GB2312"/>
          <w:kern w:val="0"/>
          <w:sz w:val="32"/>
          <w:szCs w:val="32"/>
        </w:rPr>
        <w:t>”</w:t>
      </w:r>
      <w:r>
        <w:rPr>
          <w:rFonts w:hint="eastAsia" w:ascii="仿宋_GB2312" w:hAnsi="宋体" w:eastAsia="仿宋_GB2312"/>
          <w:kern w:val="0"/>
          <w:sz w:val="32"/>
          <w:szCs w:val="32"/>
        </w:rPr>
        <w:t>企业、国家工业和信息化部</w:t>
      </w:r>
      <w:r>
        <w:rPr>
          <w:rFonts w:ascii="仿宋_GB2312" w:hAnsi="宋体" w:eastAsia="仿宋_GB2312"/>
          <w:kern w:val="0"/>
          <w:sz w:val="32"/>
          <w:szCs w:val="32"/>
        </w:rPr>
        <w:t>“</w:t>
      </w:r>
      <w:r>
        <w:rPr>
          <w:rFonts w:hint="eastAsia" w:ascii="仿宋_GB2312" w:hAnsi="宋体" w:eastAsia="仿宋_GB2312"/>
          <w:kern w:val="0"/>
          <w:sz w:val="32"/>
          <w:szCs w:val="32"/>
        </w:rPr>
        <w:t>单项冠军</w:t>
      </w:r>
      <w:r>
        <w:rPr>
          <w:rFonts w:ascii="仿宋_GB2312" w:hAnsi="宋体" w:eastAsia="仿宋_GB2312"/>
          <w:kern w:val="0"/>
          <w:sz w:val="32"/>
          <w:szCs w:val="32"/>
        </w:rPr>
        <w:t>”</w:t>
      </w:r>
      <w:r>
        <w:rPr>
          <w:rFonts w:hint="eastAsia" w:ascii="仿宋_GB2312" w:hAnsi="宋体" w:eastAsia="仿宋_GB2312"/>
          <w:kern w:val="0"/>
          <w:sz w:val="32"/>
          <w:szCs w:val="32"/>
        </w:rPr>
        <w:t>示范企业。</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（五）开发者企业，包括以下两种企业类型：</w:t>
      </w:r>
    </w:p>
    <w:p>
      <w:pPr>
        <w:adjustRightInd w:val="0"/>
        <w:snapToGrid w:val="0"/>
        <w:spacing w:line="560" w:lineRule="exact"/>
        <w:ind w:firstLine="1027" w:firstLineChars="321"/>
        <w:jc w:val="left"/>
        <w:rPr>
          <w:rFonts w:ascii="仿宋_GB2312" w:hAnsi="宋体" w:eastAsia="仿宋_GB2312"/>
          <w:kern w:val="0"/>
          <w:sz w:val="32"/>
          <w:szCs w:val="32"/>
        </w:rPr>
      </w:pPr>
      <w:r>
        <w:rPr>
          <w:rFonts w:hint="eastAsia" w:ascii="仿宋_GB2312" w:hAnsi="宋体" w:eastAsia="仿宋_GB2312"/>
          <w:kern w:val="0"/>
          <w:sz w:val="32"/>
          <w:szCs w:val="32"/>
        </w:rPr>
        <w:t>1.适用于互联网和相关服务、软件和信息技术服务业领域（《国民经济行业分类(GB/T4754-2011)》中行业大类代码64、65）的软信企业。</w:t>
      </w:r>
    </w:p>
    <w:p>
      <w:pPr>
        <w:adjustRightInd w:val="0"/>
        <w:snapToGrid w:val="0"/>
        <w:spacing w:line="560" w:lineRule="exact"/>
        <w:ind w:firstLine="1027" w:firstLineChars="321"/>
        <w:jc w:val="left"/>
        <w:rPr>
          <w:rFonts w:ascii="仿宋_GB2312" w:hAnsi="宋体" w:eastAsia="仿宋_GB2312"/>
          <w:kern w:val="0"/>
          <w:sz w:val="32"/>
          <w:szCs w:val="32"/>
        </w:rPr>
      </w:pPr>
      <w:r>
        <w:rPr>
          <w:rFonts w:hint="eastAsia" w:ascii="仿宋_GB2312" w:hAnsi="宋体" w:eastAsia="仿宋_GB2312"/>
          <w:kern w:val="0"/>
          <w:sz w:val="32"/>
          <w:szCs w:val="32"/>
        </w:rPr>
        <w:t>2.适用于具有开发能力，且满足以下条件之一的非软信企业：</w:t>
      </w:r>
    </w:p>
    <w:p>
      <w:pPr>
        <w:pStyle w:val="17"/>
        <w:shd w:val="clear" w:color="auto" w:fill="FFFFFF"/>
        <w:wordWrap w:val="0"/>
        <w:spacing w:before="0" w:beforeAutospacing="0" w:after="0" w:afterAutospacing="0" w:line="562" w:lineRule="atLeast"/>
        <w:ind w:left="648" w:firstLine="640"/>
        <w:rPr>
          <w:rFonts w:ascii="仿宋_GB2312" w:eastAsia="仿宋_GB2312"/>
          <w:sz w:val="32"/>
          <w:szCs w:val="32"/>
        </w:rPr>
      </w:pPr>
      <w:r>
        <w:rPr>
          <w:rFonts w:hint="eastAsia" w:ascii="仿宋_GB2312" w:eastAsia="仿宋_GB2312"/>
          <w:sz w:val="32"/>
          <w:szCs w:val="32"/>
        </w:rPr>
        <w:t>（1）基于数字技术(如鸿蒙、昇腾、鲲鹏、容器/数据库等高阶云服务)构建并发布新的软硬件产品或版本的企业。</w:t>
      </w:r>
    </w:p>
    <w:p>
      <w:pPr>
        <w:pStyle w:val="17"/>
        <w:shd w:val="clear" w:color="auto" w:fill="FFFFFF"/>
        <w:wordWrap w:val="0"/>
        <w:spacing w:before="0" w:beforeAutospacing="0" w:after="0" w:afterAutospacing="0" w:line="562" w:lineRule="atLeast"/>
        <w:ind w:left="648" w:firstLine="640"/>
        <w:rPr>
          <w:rFonts w:ascii="仿宋_GB2312" w:eastAsia="仿宋_GB2312"/>
          <w:sz w:val="32"/>
          <w:szCs w:val="32"/>
        </w:rPr>
      </w:pPr>
      <w:r>
        <w:rPr>
          <w:rFonts w:hint="eastAsia" w:ascii="仿宋_GB2312" w:eastAsia="仿宋_GB2312"/>
          <w:sz w:val="32"/>
          <w:szCs w:val="32"/>
        </w:rPr>
        <w:t>（2）拥有主流云厂家开发者认证（非入门级）或者职业认证不小于3人的企业。</w:t>
      </w:r>
    </w:p>
    <w:p>
      <w:pPr>
        <w:pStyle w:val="17"/>
        <w:shd w:val="clear" w:color="auto" w:fill="FFFFFF"/>
        <w:wordWrap w:val="0"/>
        <w:spacing w:before="0" w:beforeAutospacing="0" w:after="0" w:afterAutospacing="0" w:line="562" w:lineRule="atLeast"/>
        <w:ind w:left="648" w:firstLine="640"/>
        <w:rPr>
          <w:rFonts w:ascii="仿宋_GB2312" w:eastAsia="仿宋_GB2312"/>
          <w:sz w:val="32"/>
          <w:szCs w:val="32"/>
        </w:rPr>
      </w:pPr>
      <w:r>
        <w:rPr>
          <w:rFonts w:hint="eastAsia" w:ascii="仿宋_GB2312" w:eastAsia="仿宋_GB2312"/>
          <w:sz w:val="32"/>
          <w:szCs w:val="32"/>
        </w:rPr>
        <w:t>（3）在 ICT 行业全国性大赛省赛中获得名次的企业。</w:t>
      </w:r>
    </w:p>
    <w:p>
      <w:pPr>
        <w:adjustRightInd w:val="0"/>
        <w:snapToGrid w:val="0"/>
        <w:spacing w:line="560" w:lineRule="exact"/>
        <w:ind w:firstLine="707" w:firstLineChars="221"/>
        <w:jc w:val="left"/>
        <w:rPr>
          <w:rFonts w:ascii="仿宋_GB2312" w:hAnsi="宋体" w:eastAsia="仿宋_GB2312"/>
          <w:kern w:val="0"/>
          <w:sz w:val="32"/>
          <w:szCs w:val="32"/>
        </w:rPr>
      </w:pPr>
      <w:r>
        <w:rPr>
          <w:rFonts w:hint="eastAsia" w:ascii="仿宋_GB2312" w:hAnsi="宋体" w:eastAsia="仿宋_GB2312"/>
          <w:kern w:val="0"/>
          <w:sz w:val="32"/>
          <w:szCs w:val="32"/>
        </w:rPr>
        <w:t>（六）松山湖管委会对本指南保留最终解释权。</w:t>
      </w:r>
    </w:p>
    <w:p>
      <w:pPr>
        <w:adjustRightInd w:val="0"/>
        <w:snapToGrid w:val="0"/>
        <w:spacing w:line="560" w:lineRule="exact"/>
        <w:ind w:firstLine="707" w:firstLineChars="221"/>
        <w:jc w:val="left"/>
        <w:rPr>
          <w:rFonts w:ascii="仿宋_GB2312" w:hAnsi="宋体" w:eastAsia="仿宋_GB2312"/>
          <w:kern w:val="0"/>
          <w:sz w:val="32"/>
          <w:szCs w:val="32"/>
        </w:rPr>
      </w:pP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附件：1、支持企业落户园区措施资金申请表</w:t>
      </w:r>
    </w:p>
    <w:p>
      <w:pPr>
        <w:adjustRightInd w:val="0"/>
        <w:snapToGrid w:val="0"/>
        <w:spacing w:line="560" w:lineRule="exact"/>
        <w:ind w:left="1598" w:leftChars="304" w:hanging="960" w:hangingChars="300"/>
        <w:jc w:val="left"/>
        <w:rPr>
          <w:rFonts w:ascii="仿宋_GB2312" w:hAnsi="宋体" w:eastAsia="仿宋_GB2312"/>
          <w:kern w:val="0"/>
          <w:sz w:val="32"/>
          <w:szCs w:val="32"/>
        </w:rPr>
      </w:pPr>
      <w:r>
        <w:rPr>
          <w:rFonts w:ascii="仿宋_GB2312" w:hAnsi="宋体" w:eastAsia="仿宋_GB2312"/>
          <w:kern w:val="0"/>
          <w:sz w:val="32"/>
          <w:szCs w:val="32"/>
        </w:rPr>
        <w:t xml:space="preserve">      </w:t>
      </w:r>
      <w:r>
        <w:rPr>
          <w:rFonts w:hint="eastAsia" w:ascii="仿宋_GB2312" w:hAnsi="宋体" w:eastAsia="仿宋_GB2312"/>
          <w:kern w:val="0"/>
          <w:sz w:val="32"/>
          <w:szCs w:val="32"/>
        </w:rPr>
        <w:t>2、支持企业落户园区措施资金申报所需附件材料</w:t>
      </w:r>
    </w:p>
    <w:p>
      <w:pPr>
        <w:adjustRightInd w:val="0"/>
        <w:snapToGrid w:val="0"/>
        <w:spacing w:line="560" w:lineRule="exact"/>
        <w:ind w:firstLine="1600" w:firstLineChars="500"/>
        <w:jc w:val="left"/>
        <w:rPr>
          <w:rFonts w:ascii="仿宋_GB2312" w:hAnsi="宋体" w:eastAsia="仿宋_GB2312"/>
          <w:kern w:val="0"/>
          <w:sz w:val="32"/>
          <w:szCs w:val="32"/>
        </w:rPr>
      </w:pPr>
    </w:p>
    <w:p>
      <w:pPr>
        <w:adjustRightInd w:val="0"/>
        <w:snapToGrid w:val="0"/>
        <w:spacing w:line="560" w:lineRule="exact"/>
        <w:ind w:firstLine="707" w:firstLineChars="221"/>
        <w:jc w:val="left"/>
        <w:rPr>
          <w:rFonts w:ascii="仿宋_GB2312" w:hAnsi="宋体" w:eastAsia="仿宋_GB2312"/>
          <w:kern w:val="0"/>
          <w:sz w:val="32"/>
          <w:szCs w:val="32"/>
        </w:rPr>
      </w:pPr>
    </w:p>
    <w:p>
      <w:pPr>
        <w:adjustRightInd w:val="0"/>
        <w:snapToGrid w:val="0"/>
        <w:spacing w:line="560" w:lineRule="exact"/>
        <w:ind w:firstLine="707" w:firstLineChars="221"/>
        <w:jc w:val="left"/>
        <w:rPr>
          <w:rFonts w:ascii="仿宋_GB2312" w:hAnsi="宋体" w:eastAsia="仿宋_GB2312"/>
          <w:kern w:val="0"/>
          <w:sz w:val="32"/>
          <w:szCs w:val="32"/>
        </w:rPr>
      </w:pPr>
    </w:p>
    <w:p>
      <w:pPr>
        <w:pStyle w:val="2"/>
      </w:pPr>
    </w:p>
    <w:p>
      <w:pPr>
        <w:pStyle w:val="2"/>
      </w:pPr>
    </w:p>
    <w:p>
      <w:pPr>
        <w:pStyle w:val="2"/>
      </w:pPr>
    </w:p>
    <w:p>
      <w:pPr>
        <w:pStyle w:val="2"/>
      </w:pPr>
    </w:p>
    <w:p>
      <w:pPr>
        <w:pStyle w:val="2"/>
      </w:pPr>
    </w:p>
    <w:p>
      <w:pPr>
        <w:adjustRightInd w:val="0"/>
        <w:snapToGrid w:val="0"/>
        <w:spacing w:line="560" w:lineRule="exact"/>
        <w:ind w:firstLine="707" w:firstLineChars="221"/>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ind w:firstLine="707" w:firstLineChars="221"/>
        <w:jc w:val="left"/>
        <w:rPr>
          <w:rFonts w:ascii="仿宋_GB2312" w:hAnsi="宋体" w:eastAsia="仿宋_GB2312"/>
          <w:kern w:val="0"/>
          <w:sz w:val="32"/>
          <w:szCs w:val="32"/>
        </w:rPr>
      </w:pPr>
    </w:p>
    <w:p>
      <w:pPr>
        <w:adjustRightInd w:val="0"/>
        <w:snapToGrid w:val="0"/>
        <w:spacing w:line="560" w:lineRule="exact"/>
        <w:ind w:firstLine="707" w:firstLineChars="221"/>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r>
        <w:rPr>
          <w:rFonts w:hint="eastAsia" w:ascii="仿宋_GB2312" w:hAnsi="宋体" w:eastAsia="仿宋_GB2312"/>
          <w:kern w:val="0"/>
          <w:sz w:val="32"/>
          <w:szCs w:val="32"/>
        </w:rPr>
        <w:t>附件1</w:t>
      </w:r>
    </w:p>
    <w:p>
      <w:pPr>
        <w:adjustRightInd w:val="0"/>
        <w:snapToGrid w:val="0"/>
        <w:spacing w:line="560" w:lineRule="exact"/>
        <w:ind w:firstLine="707" w:firstLineChars="221"/>
        <w:jc w:val="left"/>
        <w:rPr>
          <w:rFonts w:ascii="仿宋_GB2312" w:hAnsi="宋体" w:eastAsia="仿宋_GB2312"/>
          <w:kern w:val="0"/>
          <w:sz w:val="32"/>
          <w:szCs w:val="32"/>
        </w:rPr>
      </w:pPr>
    </w:p>
    <w:tbl>
      <w:tblPr>
        <w:tblStyle w:val="13"/>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0"/>
        <w:gridCol w:w="2237"/>
        <w:gridCol w:w="2165"/>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gridSpan w:val="4"/>
            <w:tcBorders>
              <w:top w:val="nil"/>
              <w:left w:val="nil"/>
              <w:bottom w:val="single" w:color="auto" w:sz="4" w:space="0"/>
              <w:right w:val="nil"/>
            </w:tcBorders>
          </w:tcPr>
          <w:p>
            <w:pPr>
              <w:jc w:val="center"/>
              <w:rPr>
                <w:rFonts w:ascii="黑体" w:hAnsi="黑体" w:eastAsia="黑体" w:cs="黑体"/>
                <w:kern w:val="0"/>
                <w:sz w:val="44"/>
                <w:szCs w:val="44"/>
              </w:rPr>
            </w:pPr>
            <w:r>
              <w:rPr>
                <w:rFonts w:hint="eastAsia" w:ascii="黑体" w:hAnsi="黑体" w:eastAsia="黑体" w:cs="黑体"/>
                <w:kern w:val="0"/>
                <w:sz w:val="44"/>
                <w:szCs w:val="44"/>
              </w:rPr>
              <w:t>支持企业落户园区措施资金申请表</w:t>
            </w:r>
          </w:p>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tcBorders>
              <w:top w:val="single" w:color="auto" w:sz="4" w:space="0"/>
            </w:tcBorders>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企业名称</w:t>
            </w:r>
          </w:p>
        </w:tc>
        <w:tc>
          <w:tcPr>
            <w:tcW w:w="6551" w:type="dxa"/>
            <w:gridSpan w:val="3"/>
            <w:tcBorders>
              <w:top w:val="single" w:color="auto" w:sz="4" w:space="0"/>
            </w:tcBorders>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企业地址</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所属园区</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法定代表人</w:t>
            </w:r>
          </w:p>
        </w:tc>
        <w:tc>
          <w:tcPr>
            <w:tcW w:w="2237" w:type="dxa"/>
            <w:vAlign w:val="center"/>
          </w:tcPr>
          <w:p>
            <w:pPr>
              <w:spacing w:line="560" w:lineRule="exact"/>
              <w:jc w:val="center"/>
              <w:rPr>
                <w:rFonts w:ascii="仿宋_GB2312" w:hAnsi="仿宋_GB2312" w:eastAsia="仿宋_GB2312" w:cs="仿宋_GB2312"/>
                <w:kern w:val="0"/>
                <w:szCs w:val="21"/>
              </w:rPr>
            </w:pPr>
          </w:p>
        </w:tc>
        <w:tc>
          <w:tcPr>
            <w:tcW w:w="2165"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联系电话</w:t>
            </w:r>
          </w:p>
        </w:tc>
        <w:tc>
          <w:tcPr>
            <w:tcW w:w="2149" w:type="dxa"/>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单位联系人</w:t>
            </w:r>
          </w:p>
        </w:tc>
        <w:tc>
          <w:tcPr>
            <w:tcW w:w="2237" w:type="dxa"/>
            <w:vAlign w:val="center"/>
          </w:tcPr>
          <w:p>
            <w:pPr>
              <w:widowControl/>
              <w:spacing w:line="560" w:lineRule="exact"/>
              <w:jc w:val="center"/>
              <w:rPr>
                <w:rFonts w:ascii="仿宋_GB2312" w:hAnsi="仿宋_GB2312" w:eastAsia="仿宋_GB2312" w:cs="仿宋_GB2312"/>
                <w:kern w:val="0"/>
                <w:szCs w:val="21"/>
              </w:rPr>
            </w:pPr>
          </w:p>
        </w:tc>
        <w:tc>
          <w:tcPr>
            <w:tcW w:w="2165" w:type="dxa"/>
            <w:vAlign w:val="center"/>
          </w:tcPr>
          <w:p>
            <w:pPr>
              <w:widowControl/>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联系电话</w:t>
            </w:r>
          </w:p>
        </w:tc>
        <w:tc>
          <w:tcPr>
            <w:tcW w:w="2149" w:type="dxa"/>
            <w:vAlign w:val="center"/>
          </w:tcPr>
          <w:p>
            <w:pPr>
              <w:widowControl/>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统一社会信用代码</w:t>
            </w:r>
          </w:p>
        </w:tc>
        <w:tc>
          <w:tcPr>
            <w:tcW w:w="6551" w:type="dxa"/>
            <w:gridSpan w:val="3"/>
            <w:vAlign w:val="center"/>
          </w:tcPr>
          <w:p>
            <w:pPr>
              <w:widowControl/>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510" w:type="dxa"/>
            <w:vMerge w:val="restart"/>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企业类别（可多选）</w:t>
            </w:r>
          </w:p>
        </w:tc>
        <w:tc>
          <w:tcPr>
            <w:tcW w:w="2237"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□规模以上工业企业</w:t>
            </w:r>
          </w:p>
        </w:tc>
        <w:tc>
          <w:tcPr>
            <w:tcW w:w="2165"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□上市企业</w:t>
            </w:r>
          </w:p>
        </w:tc>
        <w:tc>
          <w:tcPr>
            <w:tcW w:w="2149"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□国家高新技术企业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510" w:type="dxa"/>
            <w:vMerge w:val="continue"/>
            <w:vAlign w:val="center"/>
          </w:tcPr>
          <w:p>
            <w:pPr>
              <w:spacing w:line="276" w:lineRule="auto"/>
              <w:jc w:val="center"/>
              <w:rPr>
                <w:rFonts w:ascii="仿宋_GB2312" w:hAnsi="仿宋_GB2312" w:eastAsia="仿宋_GB2312" w:cs="仿宋_GB2312"/>
                <w:kern w:val="0"/>
                <w:szCs w:val="21"/>
              </w:rPr>
            </w:pPr>
          </w:p>
        </w:tc>
        <w:tc>
          <w:tcPr>
            <w:tcW w:w="2237"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□“专精特新”企业</w:t>
            </w:r>
          </w:p>
        </w:tc>
        <w:tc>
          <w:tcPr>
            <w:tcW w:w="2165"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 xml:space="preserve">□软信企业 </w:t>
            </w:r>
          </w:p>
        </w:tc>
        <w:tc>
          <w:tcPr>
            <w:tcW w:w="2149" w:type="dxa"/>
            <w:vAlign w:val="center"/>
          </w:tcPr>
          <w:p>
            <w:pPr>
              <w:spacing w:line="56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□开发者企业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510" w:type="dxa"/>
            <w:vMerge w:val="continue"/>
            <w:shd w:val="clear" w:color="auto" w:fill="auto"/>
            <w:vAlign w:val="center"/>
          </w:tcPr>
          <w:p>
            <w:pPr>
              <w:spacing w:line="276" w:lineRule="auto"/>
              <w:jc w:val="center"/>
              <w:rPr>
                <w:rFonts w:ascii="仿宋_GB2312" w:hAnsi="仿宋_GB2312" w:eastAsia="仿宋_GB2312" w:cs="仿宋_GB2312"/>
                <w:kern w:val="0"/>
                <w:szCs w:val="21"/>
              </w:rPr>
            </w:pPr>
          </w:p>
        </w:tc>
        <w:tc>
          <w:tcPr>
            <w:tcW w:w="6551" w:type="dxa"/>
            <w:gridSpan w:val="3"/>
            <w:shd w:val="clear" w:color="auto" w:fill="auto"/>
            <w:vAlign w:val="center"/>
          </w:tcPr>
          <w:p>
            <w:pPr>
              <w:pStyle w:val="18"/>
              <w:numPr>
                <w:ilvl w:val="0"/>
                <w:numId w:val="1"/>
              </w:numPr>
              <w:spacing w:line="560" w:lineRule="exact"/>
              <w:ind w:firstLineChars="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优质软信企业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510" w:type="dxa"/>
            <w:shd w:val="clear" w:color="auto" w:fill="auto"/>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公司</w:t>
            </w:r>
            <w:r>
              <w:rPr>
                <w:rFonts w:ascii="仿宋_GB2312" w:hAnsi="仿宋_GB2312" w:eastAsia="仿宋_GB2312" w:cs="仿宋_GB2312"/>
                <w:kern w:val="0"/>
                <w:szCs w:val="21"/>
              </w:rPr>
              <w:t>连续缴纳社会保险</w:t>
            </w:r>
          </w:p>
        </w:tc>
        <w:tc>
          <w:tcPr>
            <w:tcW w:w="6551" w:type="dxa"/>
            <w:gridSpan w:val="3"/>
            <w:shd w:val="clear" w:color="auto" w:fill="auto"/>
            <w:vAlign w:val="center"/>
          </w:tcPr>
          <w:p>
            <w:pPr>
              <w:spacing w:line="560" w:lineRule="exact"/>
              <w:jc w:val="center"/>
              <w:rPr>
                <w:rFonts w:ascii="仿宋_GB2312" w:hAnsi="仿宋_GB2312" w:eastAsia="仿宋_GB2312" w:cs="仿宋_GB2312"/>
                <w:kern w:val="0"/>
                <w:szCs w:val="21"/>
              </w:rPr>
            </w:pPr>
            <w:r>
              <w:rPr>
                <w:rFonts w:ascii="仿宋_GB2312" w:hAnsi="仿宋_GB2312" w:eastAsia="仿宋_GB2312" w:cs="仿宋_GB2312"/>
                <w:kern w:val="0"/>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510" w:type="dxa"/>
            <w:shd w:val="clear" w:color="auto" w:fill="auto"/>
            <w:vAlign w:val="center"/>
          </w:tcPr>
          <w:p>
            <w:pPr>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2 年内实际在园区连续缴纳社会保险6个月（含）以上的人数</w:t>
            </w:r>
          </w:p>
        </w:tc>
        <w:tc>
          <w:tcPr>
            <w:tcW w:w="6551" w:type="dxa"/>
            <w:gridSpan w:val="3"/>
            <w:shd w:val="clear" w:color="auto" w:fill="auto"/>
            <w:vAlign w:val="center"/>
          </w:tcPr>
          <w:p>
            <w:pPr>
              <w:spacing w:line="560" w:lineRule="exact"/>
              <w:jc w:val="center"/>
              <w:rPr>
                <w:rFonts w:ascii="仿宋_GB2312" w:hAnsi="仿宋_GB2312" w:eastAsia="仿宋_GB2312" w:cs="仿宋_GB2312"/>
                <w:kern w:val="0"/>
                <w:szCs w:val="21"/>
              </w:rPr>
            </w:pPr>
            <w:r>
              <w:rPr>
                <w:rFonts w:ascii="仿宋_GB2312" w:hAnsi="仿宋_GB2312" w:eastAsia="仿宋_GB2312" w:cs="仿宋_GB2312"/>
                <w:kern w:val="0"/>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房租面积</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房屋产权方</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2510" w:type="dxa"/>
            <w:vAlign w:val="center"/>
          </w:tcPr>
          <w:p>
            <w:pPr>
              <w:spacing w:line="240" w:lineRule="exact"/>
              <w:jc w:val="center"/>
              <w:rPr>
                <w:rFonts w:ascii="仿宋_GB2312" w:hAnsi="仿宋_GB2312" w:eastAsia="仿宋_GB2312" w:cs="仿宋_GB2312"/>
                <w:b/>
                <w:bCs/>
                <w:kern w:val="0"/>
                <w:szCs w:val="21"/>
              </w:rPr>
            </w:pPr>
            <w:r>
              <w:rPr>
                <w:rFonts w:hint="eastAsia" w:ascii="仿宋_GB2312" w:hAnsi="仿宋_GB2312" w:eastAsia="仿宋_GB2312" w:cs="仿宋_GB2312"/>
                <w:b/>
                <w:bCs/>
                <w:kern w:val="0"/>
                <w:szCs w:val="21"/>
              </w:rPr>
              <w:t>申请资金补贴金额</w:t>
            </w:r>
          </w:p>
        </w:tc>
        <w:tc>
          <w:tcPr>
            <w:tcW w:w="6551" w:type="dxa"/>
            <w:gridSpan w:val="3"/>
            <w:vAlign w:val="center"/>
          </w:tcPr>
          <w:p>
            <w:pPr>
              <w:spacing w:line="560" w:lineRule="exact"/>
              <w:jc w:val="center"/>
              <w:rPr>
                <w:rFonts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510" w:type="dxa"/>
            <w:vAlign w:val="center"/>
          </w:tcPr>
          <w:p>
            <w:pPr>
              <w:spacing w:line="276" w:lineRule="auto"/>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备注说明</w:t>
            </w:r>
          </w:p>
        </w:tc>
        <w:tc>
          <w:tcPr>
            <w:tcW w:w="6551" w:type="dxa"/>
            <w:gridSpan w:val="3"/>
            <w:vAlign w:val="center"/>
          </w:tcPr>
          <w:p>
            <w:pPr>
              <w:spacing w:line="560" w:lineRule="exact"/>
              <w:jc w:val="center"/>
              <w:rPr>
                <w:rFonts w:ascii="仿宋_GB2312" w:hAnsi="仿宋_GB2312" w:eastAsia="仿宋_GB2312" w:cs="仿宋_GB2312"/>
                <w:kern w:val="0"/>
                <w:sz w:val="32"/>
                <w:szCs w:val="32"/>
              </w:rPr>
            </w:pPr>
          </w:p>
        </w:tc>
      </w:tr>
    </w:tbl>
    <w:p>
      <w:pPr>
        <w:spacing w:line="560" w:lineRule="exact"/>
        <w:jc w:val="center"/>
        <w:outlineLvl w:val="0"/>
        <w:rPr>
          <w:rFonts w:asciiTheme="majorEastAsia" w:hAnsiTheme="majorEastAsia" w:eastAsiaTheme="majorEastAsia" w:cstheme="majorEastAsia"/>
          <w:bCs/>
          <w:kern w:val="44"/>
          <w:sz w:val="44"/>
          <w:szCs w:val="44"/>
        </w:rPr>
      </w:pPr>
      <w:bookmarkStart w:id="9" w:name="_Toc146615765"/>
    </w:p>
    <w:p>
      <w:pPr>
        <w:spacing w:line="560" w:lineRule="exact"/>
        <w:jc w:val="center"/>
        <w:outlineLvl w:val="0"/>
        <w:rPr>
          <w:rFonts w:asciiTheme="majorEastAsia" w:hAnsiTheme="majorEastAsia" w:eastAsiaTheme="majorEastAsia" w:cstheme="majorEastAsia"/>
          <w:bCs/>
          <w:kern w:val="44"/>
          <w:sz w:val="44"/>
          <w:szCs w:val="44"/>
        </w:rPr>
      </w:pPr>
    </w:p>
    <w:p>
      <w:pPr>
        <w:spacing w:line="560" w:lineRule="exact"/>
        <w:jc w:val="center"/>
        <w:outlineLvl w:val="0"/>
        <w:rPr>
          <w:rFonts w:asciiTheme="majorEastAsia" w:hAnsiTheme="majorEastAsia" w:eastAsiaTheme="majorEastAsia" w:cstheme="majorEastAsia"/>
          <w:bCs/>
          <w:kern w:val="44"/>
          <w:sz w:val="44"/>
          <w:szCs w:val="44"/>
        </w:rPr>
      </w:pPr>
    </w:p>
    <w:p>
      <w:pPr>
        <w:adjustRightInd w:val="0"/>
        <w:snapToGrid w:val="0"/>
        <w:spacing w:line="560" w:lineRule="exact"/>
        <w:jc w:val="left"/>
        <w:rPr>
          <w:rFonts w:ascii="仿宋_GB2312" w:hAnsi="宋体" w:eastAsia="仿宋_GB2312"/>
          <w:kern w:val="0"/>
          <w:sz w:val="32"/>
          <w:szCs w:val="32"/>
        </w:rPr>
      </w:pPr>
      <w:r>
        <w:rPr>
          <w:rFonts w:hint="eastAsia" w:ascii="仿宋_GB2312" w:hAnsi="宋体" w:eastAsia="仿宋_GB2312"/>
          <w:kern w:val="0"/>
          <w:sz w:val="32"/>
          <w:szCs w:val="32"/>
        </w:rPr>
        <w:t>附件</w:t>
      </w:r>
      <w:r>
        <w:rPr>
          <w:rFonts w:ascii="仿宋_GB2312" w:hAnsi="宋体" w:eastAsia="仿宋_GB2312"/>
          <w:kern w:val="0"/>
          <w:sz w:val="32"/>
          <w:szCs w:val="32"/>
        </w:rPr>
        <w:t>2</w:t>
      </w:r>
    </w:p>
    <w:p>
      <w:pPr>
        <w:jc w:val="center"/>
        <w:rPr>
          <w:rFonts w:ascii="黑体" w:hAnsi="黑体" w:eastAsia="黑体" w:cs="黑体"/>
          <w:kern w:val="0"/>
          <w:sz w:val="44"/>
          <w:szCs w:val="44"/>
        </w:rPr>
      </w:pPr>
      <w:r>
        <w:rPr>
          <w:rFonts w:hint="eastAsia" w:ascii="黑体" w:hAnsi="黑体" w:eastAsia="黑体" w:cs="黑体"/>
          <w:kern w:val="0"/>
          <w:sz w:val="44"/>
          <w:szCs w:val="44"/>
        </w:rPr>
        <w:t>支持企业落户园区措施资金</w:t>
      </w:r>
    </w:p>
    <w:p>
      <w:pPr>
        <w:jc w:val="center"/>
        <w:rPr>
          <w:rFonts w:ascii="黑体" w:hAnsi="黑体" w:eastAsia="黑体" w:cs="黑体"/>
          <w:kern w:val="0"/>
          <w:sz w:val="44"/>
          <w:szCs w:val="44"/>
        </w:rPr>
      </w:pPr>
      <w:r>
        <w:rPr>
          <w:rFonts w:hint="eastAsia" w:ascii="黑体" w:hAnsi="黑体" w:eastAsia="黑体" w:cs="黑体"/>
          <w:kern w:val="0"/>
          <w:sz w:val="44"/>
          <w:szCs w:val="44"/>
        </w:rPr>
        <w:t>申报所需附件材料</w:t>
      </w:r>
    </w:p>
    <w:bookmarkEnd w:id="9"/>
    <w:p>
      <w:pPr>
        <w:spacing w:line="560" w:lineRule="exact"/>
        <w:outlineLvl w:val="0"/>
        <w:rPr>
          <w:rFonts w:ascii="黑体" w:hAnsi="黑体" w:eastAsia="黑体"/>
          <w:bCs/>
          <w:kern w:val="44"/>
          <w:sz w:val="30"/>
          <w:szCs w:val="30"/>
        </w:rPr>
      </w:pPr>
      <w:r>
        <w:rPr>
          <w:rFonts w:hint="eastAsia" w:ascii="黑体" w:hAnsi="黑体" w:eastAsia="黑体"/>
          <w:bCs/>
          <w:kern w:val="44"/>
          <w:sz w:val="30"/>
          <w:szCs w:val="30"/>
        </w:rPr>
        <w:t>本次申报所需附件材料（以下请按照序号顺序排版并标明序号及附件名称）</w:t>
      </w:r>
    </w:p>
    <w:tbl>
      <w:tblPr>
        <w:tblStyle w:val="12"/>
        <w:tblW w:w="99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91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815" w:type="dxa"/>
            <w:vAlign w:val="center"/>
          </w:tcPr>
          <w:p>
            <w:pPr>
              <w:rPr>
                <w:rFonts w:ascii="仿宋" w:hAnsi="仿宋" w:eastAsia="仿宋" w:cs="仿宋"/>
                <w:b/>
                <w:sz w:val="24"/>
                <w:szCs w:val="24"/>
              </w:rPr>
            </w:pPr>
            <w:r>
              <w:rPr>
                <w:rFonts w:hint="eastAsia" w:ascii="仿宋" w:hAnsi="仿宋" w:eastAsia="仿宋" w:cs="仿宋"/>
                <w:b/>
                <w:sz w:val="24"/>
                <w:szCs w:val="24"/>
              </w:rPr>
              <w:t>序号</w:t>
            </w:r>
          </w:p>
        </w:tc>
        <w:tc>
          <w:tcPr>
            <w:tcW w:w="9147" w:type="dxa"/>
            <w:vAlign w:val="center"/>
          </w:tcPr>
          <w:p>
            <w:pPr>
              <w:ind w:firstLine="480"/>
              <w:jc w:val="center"/>
              <w:rPr>
                <w:rFonts w:ascii="仿宋" w:hAnsi="仿宋" w:eastAsia="仿宋" w:cs="仿宋"/>
                <w:b/>
                <w:sz w:val="24"/>
                <w:szCs w:val="24"/>
              </w:rPr>
            </w:pPr>
            <w:r>
              <w:rPr>
                <w:rFonts w:hint="eastAsia" w:ascii="仿宋" w:hAnsi="仿宋" w:eastAsia="仿宋" w:cs="仿宋"/>
                <w:b/>
                <w:sz w:val="24"/>
                <w:szCs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1</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2</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企业营业执照、事业单位法人证书或社会团体法人登记证书的复印件（加盖公章）</w:t>
            </w:r>
            <w:bookmarkStart w:id="11" w:name="_GoBack"/>
            <w:bookmarkEnd w:id="11"/>
            <w:r>
              <w:rPr>
                <w:rFonts w:hint="eastAsia" w:ascii="仿宋_GB2312" w:hAnsi="Calibri" w:eastAsia="仿宋_GB2312"/>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3</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4</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信用中国（广东·东莞）（https://credit.dg.gov.cn/）下载无违法违规证明版信用报告。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7</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支持企业落户园区措施资金申请表（加盖公章）。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8</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公司人员2022年社保缴纳凭证（含人数及社保缴纳期限</w:t>
            </w:r>
            <w:bookmarkStart w:id="10" w:name="_Hlk146796804"/>
            <w:r>
              <w:rPr>
                <w:rFonts w:hint="eastAsia" w:ascii="仿宋_GB2312" w:hAnsi="Calibri" w:eastAsia="仿宋_GB2312"/>
                <w:sz w:val="24"/>
                <w:szCs w:val="24"/>
              </w:rPr>
              <w:t>，提供2 年内实际在园区连续缴纳社会保险6个月（含）以上的人员社保及清单</w:t>
            </w:r>
            <w:bookmarkEnd w:id="10"/>
            <w:r>
              <w:rPr>
                <w:rFonts w:hint="eastAsia" w:ascii="仿宋_GB2312" w:hAnsi="Calibri" w:eastAsia="仿宋_GB2312"/>
                <w:sz w:val="24"/>
                <w:szCs w:val="24"/>
              </w:rPr>
              <w:t>）（加盖公章）。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sz w:val="24"/>
              </w:rPr>
              <w:t>9</w:t>
            </w:r>
          </w:p>
        </w:tc>
        <w:tc>
          <w:tcPr>
            <w:tcW w:w="9147" w:type="dxa"/>
            <w:tcBorders>
              <w:bottom w:val="single" w:color="000000" w:sz="4" w:space="0"/>
            </w:tcBorders>
          </w:tcPr>
          <w:p>
            <w:pPr>
              <w:spacing w:line="520" w:lineRule="exact"/>
              <w:rPr>
                <w:rFonts w:ascii="仿宋_GB2312" w:hAnsi="Calibri" w:eastAsia="仿宋_GB2312"/>
                <w:sz w:val="24"/>
                <w:szCs w:val="24"/>
              </w:rPr>
            </w:pPr>
            <w:r>
              <w:rPr>
                <w:rFonts w:hint="eastAsia" w:ascii="仿宋_GB2312" w:hAnsi="Calibri" w:eastAsia="仿宋_GB2312"/>
                <w:sz w:val="24"/>
                <w:szCs w:val="24"/>
              </w:rPr>
              <w:t>入驻企业为优质软信企业的需要提供入驻企业（如入驻企业的母公司符合优质软信企业条件，则提供母公司的资质材料）的以下之一证明材料：</w:t>
            </w:r>
          </w:p>
          <w:p>
            <w:pPr>
              <w:spacing w:line="520" w:lineRule="exact"/>
              <w:rPr>
                <w:rFonts w:ascii="仿宋_GB2312" w:hAnsi="Calibri" w:eastAsia="仿宋_GB2312"/>
                <w:sz w:val="24"/>
                <w:szCs w:val="24"/>
              </w:rPr>
            </w:pPr>
            <w:r>
              <w:rPr>
                <w:rFonts w:hint="eastAsia" w:ascii="仿宋_GB2312" w:hAnsi="Calibri" w:eastAsia="仿宋_GB2312"/>
                <w:sz w:val="24"/>
                <w:szCs w:val="24"/>
              </w:rPr>
              <w:t>1.上年度美国《财富》杂志发布的“世界500 强”企业。2.上年度中国企业联合会与中国企业家协会联合发布的“中国企业500 强”企业。</w:t>
            </w:r>
          </w:p>
          <w:p>
            <w:pPr>
              <w:spacing w:line="520" w:lineRule="exact"/>
              <w:rPr>
                <w:rFonts w:ascii="仿宋_GB2312" w:hAnsi="Calibri" w:eastAsia="仿宋_GB2312"/>
                <w:sz w:val="24"/>
                <w:szCs w:val="24"/>
              </w:rPr>
            </w:pPr>
            <w:r>
              <w:rPr>
                <w:rFonts w:hint="eastAsia" w:ascii="仿宋_GB2312" w:hAnsi="Calibri" w:eastAsia="仿宋_GB2312"/>
                <w:sz w:val="24"/>
                <w:szCs w:val="24"/>
              </w:rPr>
              <w:t>3.上年度中国企业联合会与中国企业家协会联合发布的“中国服务业企业500强”，全国工商联发布的“中国民营企业500 强”企业。</w:t>
            </w:r>
          </w:p>
          <w:p>
            <w:pPr>
              <w:spacing w:line="520" w:lineRule="exact"/>
              <w:rPr>
                <w:rFonts w:ascii="仿宋_GB2312" w:hAnsi="Calibri" w:eastAsia="仿宋_GB2312"/>
                <w:sz w:val="24"/>
                <w:szCs w:val="24"/>
              </w:rPr>
            </w:pPr>
            <w:r>
              <w:rPr>
                <w:rFonts w:hint="eastAsia" w:ascii="仿宋_GB2312" w:hAnsi="Calibri" w:eastAsia="仿宋_GB2312"/>
                <w:sz w:val="24"/>
                <w:szCs w:val="24"/>
              </w:rPr>
              <w:t>4.上年度工业和信息化部认定的“中国软件业务收入百强”企业，中国电子信息行业联合会发布的“软件和信息技术服务竞争力百强”企业或中国互联网协会发布的“中国互联网综合实力百强”企业。</w:t>
            </w:r>
          </w:p>
          <w:p>
            <w:pPr>
              <w:spacing w:line="520" w:lineRule="exact"/>
              <w:rPr>
                <w:rFonts w:ascii="仿宋_GB2312" w:hAnsi="Calibri" w:eastAsia="仿宋_GB2312"/>
                <w:sz w:val="24"/>
                <w:szCs w:val="24"/>
              </w:rPr>
            </w:pPr>
            <w:r>
              <w:rPr>
                <w:rFonts w:hint="eastAsia" w:ascii="仿宋_GB2312" w:hAnsi="Calibri" w:eastAsia="仿宋_GB2312"/>
                <w:sz w:val="24"/>
                <w:szCs w:val="24"/>
              </w:rPr>
              <w:t>5.境内外上市企业。</w:t>
            </w:r>
          </w:p>
          <w:p>
            <w:pPr>
              <w:spacing w:line="520" w:lineRule="exact"/>
              <w:rPr>
                <w:rFonts w:ascii="仿宋_GB2312" w:hAnsi="Calibri" w:eastAsia="仿宋_GB2312"/>
                <w:sz w:val="24"/>
                <w:szCs w:val="24"/>
              </w:rPr>
            </w:pPr>
            <w:r>
              <w:rPr>
                <w:rFonts w:hint="eastAsia" w:ascii="仿宋_GB2312" w:hAnsi="Calibri" w:eastAsia="仿宋_GB2312"/>
                <w:sz w:val="24"/>
                <w:szCs w:val="24"/>
              </w:rPr>
              <w:t>6.上年度国家工业和信息化部专精特新“小巨人”企业、国家工业和信息化部“单项冠军”示范企业。（仅申请新引进的优质软信企业资助提供）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0</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企业总部证明材料（加盖公章）。（仅申请新引进的优质软信企业资助提供）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1</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对新引进的软信企业或新入驻“松山湖开发者村”开发者企业,另需提供能够证明落户松山湖的工商变更通知书或落户松山湖的通知证明材料（加盖公章）。（仅申请新引进的软信企业或新入驻“松山湖开发者村”开发者企业资助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2</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仅申请新引进的软信企业或新入驻“松山湖开发者村”开发者企业资助中的软信企业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3</w:t>
            </w:r>
          </w:p>
        </w:tc>
        <w:tc>
          <w:tcPr>
            <w:tcW w:w="9147" w:type="dxa"/>
            <w:tcBorders>
              <w:bottom w:val="single" w:color="000000" w:sz="4" w:space="0"/>
            </w:tcBorders>
          </w:tcPr>
          <w:p>
            <w:pPr>
              <w:spacing w:line="520" w:lineRule="exact"/>
              <w:rPr>
                <w:rFonts w:ascii="仿宋_GB2312" w:hAnsi="Calibri" w:eastAsia="仿宋_GB2312"/>
                <w:sz w:val="24"/>
                <w:szCs w:val="24"/>
              </w:rPr>
            </w:pPr>
            <w:r>
              <w:rPr>
                <w:rFonts w:hint="eastAsia" w:ascii="仿宋_GB2312" w:hAnsi="Calibri" w:eastAsia="仿宋_GB2312"/>
                <w:sz w:val="24"/>
                <w:szCs w:val="24"/>
              </w:rPr>
              <w:t>申报主体为开发者企业以下之一证明材料：</w:t>
            </w:r>
          </w:p>
          <w:p>
            <w:pPr>
              <w:spacing w:line="520" w:lineRule="exact"/>
              <w:rPr>
                <w:rFonts w:ascii="仿宋_GB2312" w:hAnsi="Calibri" w:eastAsia="仿宋_GB2312"/>
                <w:sz w:val="24"/>
                <w:szCs w:val="24"/>
              </w:rPr>
            </w:pPr>
            <w:r>
              <w:rPr>
                <w:rFonts w:hint="eastAsia" w:ascii="仿宋_GB2312" w:hAnsi="Calibri" w:eastAsia="仿宋_GB2312"/>
                <w:sz w:val="24"/>
                <w:szCs w:val="24"/>
              </w:rPr>
              <w:t>1.适用于互联网和相关服务、软件和信息技术服务业领域（《国民经济行业分类(GB/T4754-2011) 》中行业大类代码64、65）的软信企业。</w:t>
            </w:r>
          </w:p>
          <w:p>
            <w:pPr>
              <w:spacing w:line="520" w:lineRule="exact"/>
              <w:rPr>
                <w:rFonts w:ascii="仿宋_GB2312" w:hAnsi="Calibri" w:eastAsia="仿宋_GB2312"/>
                <w:sz w:val="24"/>
                <w:szCs w:val="24"/>
              </w:rPr>
            </w:pPr>
            <w:r>
              <w:rPr>
                <w:rFonts w:hint="eastAsia" w:ascii="仿宋_GB2312" w:hAnsi="Calibri" w:eastAsia="仿宋_GB2312"/>
                <w:sz w:val="24"/>
                <w:szCs w:val="24"/>
              </w:rPr>
              <w:t>2.适用于具有开发能力，且满足以下条件之一的非软信企业：</w:t>
            </w:r>
          </w:p>
          <w:p>
            <w:pPr>
              <w:spacing w:line="520" w:lineRule="exact"/>
              <w:rPr>
                <w:rFonts w:ascii="仿宋_GB2312" w:hAnsi="Calibri" w:eastAsia="仿宋_GB2312"/>
                <w:sz w:val="24"/>
                <w:szCs w:val="24"/>
              </w:rPr>
            </w:pPr>
            <w:r>
              <w:rPr>
                <w:rFonts w:hint="eastAsia" w:ascii="仿宋_GB2312" w:hAnsi="Calibri" w:eastAsia="仿宋_GB2312"/>
                <w:sz w:val="24"/>
                <w:szCs w:val="24"/>
              </w:rPr>
              <w:t>（1）基于数字技术(如鸿蒙、昇腾、鲲鹏、容器/数据库等高阶云服务)构建并发布新的软硬件产品或版本的企业。</w:t>
            </w:r>
          </w:p>
          <w:p>
            <w:pPr>
              <w:spacing w:line="520" w:lineRule="exact"/>
              <w:rPr>
                <w:rFonts w:ascii="仿宋_GB2312" w:hAnsi="Calibri" w:eastAsia="仿宋_GB2312"/>
                <w:sz w:val="24"/>
                <w:szCs w:val="24"/>
              </w:rPr>
            </w:pPr>
            <w:r>
              <w:rPr>
                <w:rFonts w:hint="eastAsia" w:ascii="仿宋_GB2312" w:hAnsi="Calibri" w:eastAsia="仿宋_GB2312"/>
                <w:sz w:val="24"/>
                <w:szCs w:val="24"/>
              </w:rPr>
              <w:t>（2）拥有主流云厂家开发者认证（非入门级）或者职业认证不小于3人的企业。</w:t>
            </w:r>
          </w:p>
          <w:p>
            <w:pPr>
              <w:spacing w:line="520" w:lineRule="exact"/>
              <w:rPr>
                <w:rFonts w:ascii="仿宋_GB2312" w:hAnsi="Calibri" w:eastAsia="仿宋_GB2312"/>
                <w:sz w:val="24"/>
                <w:szCs w:val="24"/>
              </w:rPr>
            </w:pPr>
            <w:r>
              <w:rPr>
                <w:rFonts w:hint="eastAsia" w:ascii="仿宋_GB2312" w:hAnsi="Calibri" w:eastAsia="仿宋_GB2312"/>
                <w:sz w:val="24"/>
                <w:szCs w:val="24"/>
              </w:rPr>
              <w:t>（3）在 ICT 行业全国性大赛省赛中获得名次的企业。（加盖公章）。（仅申请新引进的软信企业或新入驻“松山湖开发者村”开发者企业资助中的开发者企业提供）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vAlign w:val="center"/>
          </w:tcPr>
          <w:p>
            <w:pPr>
              <w:spacing w:line="560" w:lineRule="exact"/>
              <w:rPr>
                <w:rFonts w:ascii="仿宋" w:hAnsi="仿宋" w:eastAsia="仿宋" w:cstheme="minorBidi"/>
                <w:kern w:val="0"/>
                <w:sz w:val="24"/>
                <w:szCs w:val="24"/>
              </w:rPr>
            </w:pPr>
            <w:r>
              <w:rPr>
                <w:rFonts w:hint="eastAsia" w:ascii="仿宋_GB2312" w:hAnsi="Calibri" w:eastAsia="仿宋_GB2312"/>
                <w:sz w:val="24"/>
                <w:szCs w:val="24"/>
              </w:rPr>
              <w:t>其他说明：</w:t>
            </w:r>
          </w:p>
        </w:tc>
      </w:tr>
    </w:tbl>
    <w:p>
      <w:pPr>
        <w:adjustRightInd w:val="0"/>
        <w:snapToGrid w:val="0"/>
        <w:spacing w:line="560" w:lineRule="exact"/>
        <w:jc w:val="left"/>
        <w:rPr>
          <w:rFonts w:ascii="仿宋_GB2312" w:hAnsi="宋体" w:eastAsia="仿宋_GB231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2D23FC"/>
    <w:multiLevelType w:val="multilevel"/>
    <w:tmpl w:val="182D23FC"/>
    <w:lvl w:ilvl="0" w:tentative="0">
      <w:start w:val="4"/>
      <w:numFmt w:val="bullet"/>
      <w:lvlText w:val="□"/>
      <w:lvlJc w:val="left"/>
      <w:pPr>
        <w:ind w:left="360" w:hanging="360"/>
      </w:pPr>
      <w:rPr>
        <w:rFonts w:hint="default" w:ascii="仿宋_GB2312" w:hAnsi="仿宋_GB2312" w:eastAsia="仿宋_GB2312" w:cs="仿宋_GB2312"/>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RmYjM4ZGY3NDNhMzAwNGZkY2EwNmEwNTgwZmZkZjMifQ=="/>
  </w:docVars>
  <w:rsids>
    <w:rsidRoot w:val="370B02E4"/>
    <w:rsid w:val="00012EFE"/>
    <w:rsid w:val="00052DD8"/>
    <w:rsid w:val="000A06F0"/>
    <w:rsid w:val="00111979"/>
    <w:rsid w:val="001302DE"/>
    <w:rsid w:val="00130D45"/>
    <w:rsid w:val="0013462D"/>
    <w:rsid w:val="001D57E2"/>
    <w:rsid w:val="00212497"/>
    <w:rsid w:val="0028291D"/>
    <w:rsid w:val="002B5BC6"/>
    <w:rsid w:val="002E5F83"/>
    <w:rsid w:val="00321285"/>
    <w:rsid w:val="00322C16"/>
    <w:rsid w:val="0035072A"/>
    <w:rsid w:val="00366533"/>
    <w:rsid w:val="00383603"/>
    <w:rsid w:val="003D2237"/>
    <w:rsid w:val="00432DC5"/>
    <w:rsid w:val="00477E0B"/>
    <w:rsid w:val="004D59BD"/>
    <w:rsid w:val="00513363"/>
    <w:rsid w:val="00521C46"/>
    <w:rsid w:val="005319D6"/>
    <w:rsid w:val="005367EE"/>
    <w:rsid w:val="005A03C8"/>
    <w:rsid w:val="00602BAB"/>
    <w:rsid w:val="00620E02"/>
    <w:rsid w:val="00621C4B"/>
    <w:rsid w:val="0063035D"/>
    <w:rsid w:val="006311D9"/>
    <w:rsid w:val="00746ACF"/>
    <w:rsid w:val="007915B2"/>
    <w:rsid w:val="007A36F6"/>
    <w:rsid w:val="007C1C11"/>
    <w:rsid w:val="00853B48"/>
    <w:rsid w:val="00897AD4"/>
    <w:rsid w:val="008E4FA8"/>
    <w:rsid w:val="00906F36"/>
    <w:rsid w:val="00931A52"/>
    <w:rsid w:val="00935E93"/>
    <w:rsid w:val="009766CC"/>
    <w:rsid w:val="009F26B1"/>
    <w:rsid w:val="00A71525"/>
    <w:rsid w:val="00AF487C"/>
    <w:rsid w:val="00B61E4D"/>
    <w:rsid w:val="00BB22FC"/>
    <w:rsid w:val="00BB7D69"/>
    <w:rsid w:val="00C37949"/>
    <w:rsid w:val="00C40F62"/>
    <w:rsid w:val="00C533A0"/>
    <w:rsid w:val="00C53531"/>
    <w:rsid w:val="00C870C1"/>
    <w:rsid w:val="00CF0294"/>
    <w:rsid w:val="00D07B1A"/>
    <w:rsid w:val="00D2799E"/>
    <w:rsid w:val="00D75458"/>
    <w:rsid w:val="00DA69ED"/>
    <w:rsid w:val="00DF24CC"/>
    <w:rsid w:val="00E330B7"/>
    <w:rsid w:val="00E628FD"/>
    <w:rsid w:val="00EB7316"/>
    <w:rsid w:val="00ED1E29"/>
    <w:rsid w:val="00F0476F"/>
    <w:rsid w:val="00F62FE3"/>
    <w:rsid w:val="012B4701"/>
    <w:rsid w:val="03C9092D"/>
    <w:rsid w:val="057523EE"/>
    <w:rsid w:val="05AD3936"/>
    <w:rsid w:val="061B11E8"/>
    <w:rsid w:val="06A6068C"/>
    <w:rsid w:val="07740BAF"/>
    <w:rsid w:val="07B54D24"/>
    <w:rsid w:val="07D24E0B"/>
    <w:rsid w:val="08E528B2"/>
    <w:rsid w:val="0A093889"/>
    <w:rsid w:val="0A696084"/>
    <w:rsid w:val="0B0A5387"/>
    <w:rsid w:val="0B562A75"/>
    <w:rsid w:val="0B8E7D66"/>
    <w:rsid w:val="0B8F6B60"/>
    <w:rsid w:val="0D155F9F"/>
    <w:rsid w:val="0EA37FCC"/>
    <w:rsid w:val="0FFF7484"/>
    <w:rsid w:val="12641821"/>
    <w:rsid w:val="128679E9"/>
    <w:rsid w:val="12ED1816"/>
    <w:rsid w:val="15897F1C"/>
    <w:rsid w:val="159863B1"/>
    <w:rsid w:val="16273291"/>
    <w:rsid w:val="184A3267"/>
    <w:rsid w:val="195A572B"/>
    <w:rsid w:val="19886E22"/>
    <w:rsid w:val="19CE142E"/>
    <w:rsid w:val="19FE5F37"/>
    <w:rsid w:val="1A30453D"/>
    <w:rsid w:val="1B16096A"/>
    <w:rsid w:val="1C6D5AD1"/>
    <w:rsid w:val="1D4330A6"/>
    <w:rsid w:val="1E576D88"/>
    <w:rsid w:val="1EC71AB5"/>
    <w:rsid w:val="20A83220"/>
    <w:rsid w:val="21BA320B"/>
    <w:rsid w:val="22C04851"/>
    <w:rsid w:val="241E2177"/>
    <w:rsid w:val="244F0582"/>
    <w:rsid w:val="245142FB"/>
    <w:rsid w:val="254915CB"/>
    <w:rsid w:val="262275D1"/>
    <w:rsid w:val="26E01966"/>
    <w:rsid w:val="284C48DE"/>
    <w:rsid w:val="287E1436"/>
    <w:rsid w:val="28846321"/>
    <w:rsid w:val="28AF339E"/>
    <w:rsid w:val="294D2BB7"/>
    <w:rsid w:val="29FB0E28"/>
    <w:rsid w:val="2A351FC9"/>
    <w:rsid w:val="2BFD2672"/>
    <w:rsid w:val="2CC07724"/>
    <w:rsid w:val="2D9832D1"/>
    <w:rsid w:val="329830F5"/>
    <w:rsid w:val="33145F1F"/>
    <w:rsid w:val="336B25B7"/>
    <w:rsid w:val="341E2A32"/>
    <w:rsid w:val="34AA710F"/>
    <w:rsid w:val="35470E02"/>
    <w:rsid w:val="35505FBC"/>
    <w:rsid w:val="36934FDF"/>
    <w:rsid w:val="36DA7EC6"/>
    <w:rsid w:val="36E9436D"/>
    <w:rsid w:val="36EC3A0F"/>
    <w:rsid w:val="370B02E4"/>
    <w:rsid w:val="370C641A"/>
    <w:rsid w:val="37522FA1"/>
    <w:rsid w:val="379558A1"/>
    <w:rsid w:val="3903058E"/>
    <w:rsid w:val="39382F3B"/>
    <w:rsid w:val="39BD1693"/>
    <w:rsid w:val="39DC420F"/>
    <w:rsid w:val="3A5169AB"/>
    <w:rsid w:val="3A6A646E"/>
    <w:rsid w:val="3A836438"/>
    <w:rsid w:val="3AB23981"/>
    <w:rsid w:val="3B273268"/>
    <w:rsid w:val="3B965002"/>
    <w:rsid w:val="3E950C54"/>
    <w:rsid w:val="40E35E83"/>
    <w:rsid w:val="410B7187"/>
    <w:rsid w:val="423368FD"/>
    <w:rsid w:val="43171E14"/>
    <w:rsid w:val="44780DCF"/>
    <w:rsid w:val="44DE5F8F"/>
    <w:rsid w:val="451650DF"/>
    <w:rsid w:val="456652D4"/>
    <w:rsid w:val="463A445C"/>
    <w:rsid w:val="466C2476"/>
    <w:rsid w:val="47DF0138"/>
    <w:rsid w:val="47E90347"/>
    <w:rsid w:val="485111C8"/>
    <w:rsid w:val="48BC7D9A"/>
    <w:rsid w:val="48D604F7"/>
    <w:rsid w:val="491F36CB"/>
    <w:rsid w:val="493354CD"/>
    <w:rsid w:val="4A1B043B"/>
    <w:rsid w:val="4A4129FC"/>
    <w:rsid w:val="4B900F1C"/>
    <w:rsid w:val="4C0D2006"/>
    <w:rsid w:val="4DA22C22"/>
    <w:rsid w:val="4E6D3230"/>
    <w:rsid w:val="4F55619D"/>
    <w:rsid w:val="4F80671C"/>
    <w:rsid w:val="4FBE0AAC"/>
    <w:rsid w:val="5075461D"/>
    <w:rsid w:val="51394EA9"/>
    <w:rsid w:val="513C056A"/>
    <w:rsid w:val="53083527"/>
    <w:rsid w:val="53234805"/>
    <w:rsid w:val="54260108"/>
    <w:rsid w:val="54C45FE0"/>
    <w:rsid w:val="55915A56"/>
    <w:rsid w:val="55B93924"/>
    <w:rsid w:val="57F30C49"/>
    <w:rsid w:val="59294788"/>
    <w:rsid w:val="597D679D"/>
    <w:rsid w:val="5CB447A1"/>
    <w:rsid w:val="5CD95085"/>
    <w:rsid w:val="5DCD7E02"/>
    <w:rsid w:val="5DF748C4"/>
    <w:rsid w:val="5DFB43B4"/>
    <w:rsid w:val="5E453881"/>
    <w:rsid w:val="5E5F3065"/>
    <w:rsid w:val="5F781A34"/>
    <w:rsid w:val="5F8C48D8"/>
    <w:rsid w:val="5F993E84"/>
    <w:rsid w:val="5FFE1493"/>
    <w:rsid w:val="60631E0A"/>
    <w:rsid w:val="60F535EB"/>
    <w:rsid w:val="622B585A"/>
    <w:rsid w:val="62775FD3"/>
    <w:rsid w:val="63091321"/>
    <w:rsid w:val="636D5D54"/>
    <w:rsid w:val="63D336DD"/>
    <w:rsid w:val="63FE4F92"/>
    <w:rsid w:val="645E744B"/>
    <w:rsid w:val="6535464F"/>
    <w:rsid w:val="6599397E"/>
    <w:rsid w:val="664F1741"/>
    <w:rsid w:val="67CC062C"/>
    <w:rsid w:val="67D53EC8"/>
    <w:rsid w:val="68E048D2"/>
    <w:rsid w:val="697F058F"/>
    <w:rsid w:val="6AA47B81"/>
    <w:rsid w:val="6BD957D8"/>
    <w:rsid w:val="6C1A3B96"/>
    <w:rsid w:val="6C217057"/>
    <w:rsid w:val="6D567859"/>
    <w:rsid w:val="6DF40E20"/>
    <w:rsid w:val="6E975714"/>
    <w:rsid w:val="6EB04D47"/>
    <w:rsid w:val="6F904BDE"/>
    <w:rsid w:val="6FB72105"/>
    <w:rsid w:val="6FC36CFC"/>
    <w:rsid w:val="70025A76"/>
    <w:rsid w:val="71DB20DB"/>
    <w:rsid w:val="727D16EC"/>
    <w:rsid w:val="728F1117"/>
    <w:rsid w:val="72CF28E6"/>
    <w:rsid w:val="73394BB6"/>
    <w:rsid w:val="73B13A3B"/>
    <w:rsid w:val="745A4ACD"/>
    <w:rsid w:val="7476433D"/>
    <w:rsid w:val="74DD0860"/>
    <w:rsid w:val="74EC7C0F"/>
    <w:rsid w:val="756E3266"/>
    <w:rsid w:val="76A21419"/>
    <w:rsid w:val="76AC04E9"/>
    <w:rsid w:val="770420D4"/>
    <w:rsid w:val="774009D3"/>
    <w:rsid w:val="784C3D32"/>
    <w:rsid w:val="79960FDD"/>
    <w:rsid w:val="7A232871"/>
    <w:rsid w:val="7A535995"/>
    <w:rsid w:val="7B5F3D7C"/>
    <w:rsid w:val="7C170A88"/>
    <w:rsid w:val="7C505410"/>
    <w:rsid w:val="7C7004B9"/>
    <w:rsid w:val="7CE3799D"/>
    <w:rsid w:val="7D8F021D"/>
    <w:rsid w:val="7DBC4D3F"/>
    <w:rsid w:val="7E355268"/>
    <w:rsid w:val="7E370FE0"/>
    <w:rsid w:val="7F14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4">
    <w:name w:val="heading 2"/>
    <w:basedOn w:val="1"/>
    <w:next w:val="5"/>
    <w:qFormat/>
    <w:uiPriority w:val="3"/>
    <w:pPr>
      <w:widowControl/>
      <w:jc w:val="center"/>
      <w:outlineLvl w:val="1"/>
    </w:pPr>
    <w:rPr>
      <w:rFonts w:ascii="方正小标宋简体" w:hAnsi="仿宋_GB2312" w:eastAsia="方正小标宋简体" w:cs="仿宋_GB2312"/>
      <w:sz w:val="36"/>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5">
    <w:name w:val="Normal Indent"/>
    <w:basedOn w:val="1"/>
    <w:unhideWhenUsed/>
    <w:qFormat/>
    <w:uiPriority w:val="0"/>
    <w:pPr>
      <w:ind w:firstLine="420" w:firstLineChars="200"/>
    </w:pPr>
  </w:style>
  <w:style w:type="paragraph" w:styleId="6">
    <w:name w:val="index 8"/>
    <w:basedOn w:val="1"/>
    <w:next w:val="1"/>
    <w:qFormat/>
    <w:uiPriority w:val="0"/>
    <w:pPr>
      <w:ind w:left="2940"/>
    </w:pPr>
  </w:style>
  <w:style w:type="paragraph" w:styleId="7">
    <w:name w:val="Plain Text"/>
    <w:basedOn w:val="1"/>
    <w:next w:val="6"/>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tabs>
        <w:tab w:val="center" w:pos="4153"/>
        <w:tab w:val="right" w:pos="8306"/>
      </w:tabs>
      <w:snapToGrid w:val="0"/>
      <w:jc w:val="center"/>
    </w:pPr>
    <w:rPr>
      <w:sz w:val="18"/>
      <w:szCs w:val="18"/>
    </w:rPr>
  </w:style>
  <w:style w:type="paragraph" w:styleId="10">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1">
    <w:name w:val="Normal (Web)"/>
    <w:basedOn w:val="1"/>
    <w:qFormat/>
    <w:uiPriority w:val="99"/>
    <w:pPr>
      <w:spacing w:beforeAutospacing="1" w:afterAutospacing="1"/>
      <w:jc w:val="left"/>
    </w:pPr>
    <w:rPr>
      <w:kern w:val="0"/>
      <w:sz w:val="24"/>
    </w:rPr>
  </w:style>
  <w:style w:type="table" w:styleId="1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5">
    <w:name w:val="page number"/>
    <w:basedOn w:val="14"/>
    <w:qFormat/>
    <w:uiPriority w:val="0"/>
  </w:style>
  <w:style w:type="paragraph" w:customStyle="1" w:styleId="16">
    <w:name w:val="文件正文"/>
    <w:basedOn w:val="10"/>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17">
    <w:name w:val="western"/>
    <w:basedOn w:val="1"/>
    <w:qFormat/>
    <w:uiPriority w:val="0"/>
    <w:pPr>
      <w:widowControl/>
      <w:spacing w:before="100" w:beforeAutospacing="1" w:after="100" w:afterAutospacing="1"/>
      <w:jc w:val="left"/>
    </w:pPr>
    <w:rPr>
      <w:rFonts w:ascii="宋体" w:hAnsi="宋体" w:cs="宋体"/>
      <w:kern w:val="0"/>
      <w:sz w:val="24"/>
      <w:szCs w:val="24"/>
    </w:rPr>
  </w:style>
  <w:style w:type="paragraph" w:styleId="1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4730</Words>
  <Characters>5154</Characters>
  <Lines>39</Lines>
  <Paragraphs>11</Paragraphs>
  <TotalTime>96</TotalTime>
  <ScaleCrop>false</ScaleCrop>
  <LinksUpToDate>false</LinksUpToDate>
  <CharactersWithSpaces>5191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2022-09-09T02:13:00Z</dcterms:created>
  <dc:creator>Administrator</dc:creator>
  <cp:lastModifiedBy>Chen</cp:lastModifiedBy>
  <cp:lastPrinted>2023-10-12T08:22:00Z</cp:lastPrinted>
  <dcterms:modified xsi:type="dcterms:W3CDTF">2023-10-16T09:03:46Z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04E8365BC2CB4B6ABA24D147533372B1</vt:lpwstr>
  </property>
</Properties>
</file>