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0" w:name="PO_title"/>
      <w:r>
        <w:rPr>
          <w:rFonts w:hint="eastAsia" w:ascii="黑体" w:hAnsi="黑体" w:eastAsia="黑体" w:cs="黑体"/>
          <w:sz w:val="44"/>
          <w:szCs w:val="44"/>
        </w:rPr>
        <w:t xml:space="preserve"> </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bookmarkEnd w:id="0"/>
      <w:bookmarkStart w:id="1" w:name="PO_title1"/>
      <w:r>
        <w:rPr>
          <w:rFonts w:hint="eastAsia" w:ascii="方正小标宋简体" w:hAnsi="方正小标宋简体" w:eastAsia="方正小标宋简体" w:cs="方正小标宋简体"/>
          <w:sz w:val="44"/>
          <w:szCs w:val="44"/>
        </w:rPr>
        <w:t>松山湖应急管理分局</w:t>
      </w:r>
      <w:bookmarkEnd w:id="1"/>
      <w:r>
        <w:rPr>
          <w:rFonts w:hint="eastAsia" w:ascii="方正小标宋简体" w:hAnsi="方正小标宋简体" w:eastAsia="方正小标宋简体" w:cs="方正小标宋简体"/>
          <w:sz w:val="44"/>
          <w:szCs w:val="44"/>
        </w:rPr>
        <w:t>部门预算</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ind w:firstLine="640" w:firstLineChars="200"/>
        <w:rPr>
          <w:rFonts w:ascii="黑体" w:hAnsi="黑体" w:eastAsia="黑体" w:cs="黑体"/>
          <w:b/>
          <w:sz w:val="32"/>
          <w:szCs w:val="32"/>
        </w:rPr>
      </w:pPr>
      <w:r>
        <w:rPr>
          <w:rFonts w:hint="eastAsia" w:ascii="黑体" w:hAnsi="黑体" w:eastAsia="黑体" w:cs="黑体"/>
          <w:bCs/>
          <w:sz w:val="32"/>
          <w:szCs w:val="32"/>
        </w:rPr>
        <w:t xml:space="preserve">第一部分  </w:t>
      </w:r>
      <w:bookmarkStart w:id="2" w:name="PO_dirDivName1"/>
      <w:r>
        <w:rPr>
          <w:rFonts w:hint="eastAsia" w:ascii="黑体" w:hAnsi="黑体" w:eastAsia="黑体" w:cs="黑体"/>
          <w:bCs/>
          <w:sz w:val="32"/>
          <w:szCs w:val="32"/>
        </w:rPr>
        <w:t>松山湖应急管理分局</w:t>
      </w:r>
      <w:r>
        <w:rPr>
          <w:rFonts w:hint="eastAsia" w:ascii="黑体" w:hAnsi="黑体" w:eastAsia="黑体" w:cs="黑体"/>
          <w:bCs/>
          <w:sz w:val="11"/>
          <w:szCs w:val="11"/>
        </w:rPr>
        <w:t xml:space="preserve"> </w:t>
      </w:r>
      <w:bookmarkEnd w:id="2"/>
      <w:r>
        <w:rPr>
          <w:rFonts w:hint="eastAsia" w:ascii="黑体" w:hAnsi="黑体" w:eastAsia="黑体" w:cs="黑体"/>
          <w:bCs/>
          <w:sz w:val="32"/>
          <w:szCs w:val="32"/>
        </w:rPr>
        <w:t>概况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主要职责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部门预算构成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部门机构设置</w:t>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 xml:space="preserve">第二部分  </w:t>
      </w:r>
      <w:bookmarkStart w:id="3" w:name="PO_Year1"/>
      <w:r>
        <w:rPr>
          <w:rFonts w:ascii="Times New Roman" w:hAnsi="Times New Roman" w:eastAsia="黑体"/>
          <w:bCs/>
          <w:sz w:val="32"/>
          <w:szCs w:val="32"/>
        </w:rPr>
        <w:t>202</w:t>
      </w:r>
      <w:bookmarkEnd w:id="3"/>
      <w:r>
        <w:rPr>
          <w:rFonts w:hint="eastAsia" w:ascii="Times New Roman" w:hAnsi="Times New Roman" w:eastAsia="黑体"/>
          <w:bCs/>
          <w:sz w:val="32"/>
          <w:szCs w:val="32"/>
          <w:lang w:val="en-US" w:eastAsia="zh-CN"/>
        </w:rPr>
        <w:t>5</w:t>
      </w:r>
      <w:r>
        <w:rPr>
          <w:rFonts w:hint="eastAsia" w:ascii="黑体" w:hAnsi="黑体" w:eastAsia="黑体" w:cs="黑体"/>
          <w:bCs/>
          <w:sz w:val="32"/>
          <w:szCs w:val="32"/>
        </w:rPr>
        <w:t>年部门预算表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二、收入总体情况表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三、支出总体情况表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四、财政拨款收支总体情况表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五、一般公共预算支出情况表（按功能分类科目）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六、一般公共预算基本支出情况表（按经济分类款级科目）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七、财政拨款安排的行政经费及“三公”经费预算表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八、政府性基金预算支出情况表</w:t>
      </w:r>
    </w:p>
    <w:p>
      <w:pPr>
        <w:ind w:firstLine="640" w:firstLineChars="200"/>
        <w:rPr>
          <w:rFonts w:ascii="黑体" w:hAnsi="黑体" w:eastAsia="黑体" w:cs="黑体"/>
          <w:bCs/>
          <w:sz w:val="32"/>
          <w:szCs w:val="32"/>
        </w:rPr>
      </w:pPr>
      <w:r>
        <w:rPr>
          <w:rFonts w:hint="eastAsia" w:ascii="黑体" w:hAnsi="黑体" w:eastAsia="黑体" w:cs="黑体"/>
          <w:bCs/>
          <w:sz w:val="32"/>
          <w:szCs w:val="32"/>
        </w:rPr>
        <w:t xml:space="preserve">第三部分 </w:t>
      </w:r>
      <w:r>
        <w:rPr>
          <w:rFonts w:ascii="Times New Roman" w:hAnsi="Times New Roman" w:eastAsia="黑体"/>
          <w:bCs/>
          <w:sz w:val="32"/>
          <w:szCs w:val="32"/>
        </w:rPr>
        <w:t xml:space="preserve"> </w:t>
      </w:r>
      <w:bookmarkStart w:id="4" w:name="PO_Year2"/>
      <w:r>
        <w:rPr>
          <w:rFonts w:ascii="Times New Roman" w:hAnsi="Times New Roman" w:eastAsia="黑体"/>
          <w:bCs/>
          <w:sz w:val="32"/>
          <w:szCs w:val="32"/>
        </w:rPr>
        <w:t>202</w:t>
      </w:r>
      <w:bookmarkEnd w:id="4"/>
      <w:r>
        <w:rPr>
          <w:rFonts w:hint="eastAsia" w:ascii="Times New Roman" w:hAnsi="Times New Roman" w:eastAsia="黑体"/>
          <w:bCs/>
          <w:sz w:val="32"/>
          <w:szCs w:val="32"/>
          <w:lang w:val="en-US" w:eastAsia="zh-CN"/>
        </w:rPr>
        <w:t>5</w:t>
      </w:r>
      <w:r>
        <w:rPr>
          <w:rFonts w:hint="eastAsia" w:ascii="黑体" w:hAnsi="黑体" w:eastAsia="黑体" w:cs="黑体"/>
          <w:bCs/>
          <w:sz w:val="32"/>
          <w:szCs w:val="32"/>
        </w:rPr>
        <w:t>年部门预算情况说明</w:t>
      </w:r>
    </w:p>
    <w:p>
      <w:pPr>
        <w:ind w:firstLine="640" w:firstLineChars="200"/>
        <w:rPr>
          <w:rFonts w:ascii="黑体" w:hAnsi="黑体" w:eastAsia="黑体" w:cs="黑体"/>
          <w:bCs/>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Cs/>
          <w:sz w:val="32"/>
          <w:szCs w:val="32"/>
        </w:rPr>
        <w:t>第四部分  名词解释</w:t>
      </w:r>
    </w:p>
    <w:p>
      <w:pPr>
        <w:spacing w:after="312" w:afterLines="100" w:line="60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 xml:space="preserve">第一部分  </w:t>
      </w:r>
      <w:bookmarkStart w:id="5" w:name="PO_part1DivName1"/>
      <w:r>
        <w:rPr>
          <w:rFonts w:hint="eastAsia" w:ascii="方正小标宋简体" w:hAnsi="方正小标宋简体" w:eastAsia="方正小标宋简体" w:cs="方正小标宋简体"/>
          <w:sz w:val="44"/>
          <w:szCs w:val="44"/>
        </w:rPr>
        <w:t xml:space="preserve">松山湖高新区（应急管理分局） </w:t>
      </w:r>
      <w:bookmarkEnd w:id="5"/>
      <w:r>
        <w:rPr>
          <w:rFonts w:hint="eastAsia" w:ascii="方正小标宋简体" w:hAnsi="方正小标宋简体" w:eastAsia="方正小标宋简体" w:cs="方正小标宋简体"/>
          <w:sz w:val="44"/>
          <w:szCs w:val="44"/>
        </w:rPr>
        <w:t>概况</w:t>
      </w:r>
    </w:p>
    <w:p>
      <w:pPr>
        <w:numPr>
          <w:ilvl w:val="0"/>
          <w:numId w:val="2"/>
        </w:numPr>
        <w:spacing w:line="600" w:lineRule="exact"/>
        <w:ind w:firstLine="640"/>
        <w:rPr>
          <w:rFonts w:ascii="黑体" w:hAnsi="黑体" w:eastAsia="黑体" w:cs="黑体"/>
          <w:sz w:val="32"/>
          <w:szCs w:val="32"/>
        </w:rPr>
      </w:pPr>
      <w:r>
        <w:rPr>
          <w:rFonts w:hint="eastAsia" w:ascii="黑体" w:hAnsi="黑体" w:eastAsia="黑体" w:cs="黑体"/>
          <w:sz w:val="32"/>
          <w:szCs w:val="32"/>
        </w:rPr>
        <w:t>主要职责</w:t>
      </w:r>
    </w:p>
    <w:p>
      <w:pPr>
        <w:spacing w:line="60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负责园区内的应急管理工作。统筹应急预案体系建设，指导综合防灾减灾救灾工作。组织指导协调安全生产类、自然灾害类等突发事件应急救援。指挥协调、统筹建设应急救援力量。指导协调森林火灾、水旱、冰冻、台风、地震和地质灾害等防治工作，负责自然灾害综合监测预警工作，组织协调灾害救助工作。指导协调、监督检查安全生产工作。负责危险化学品、烟花爆竹及工矿商贸安全监管工作。组织指导生产安全事故调查处理，监督事故查处和责任追究落实情况，组织开展自然灾害类突发事件的调查评估。承担园区管委会市应急管理局交办的其他任务</w:t>
      </w:r>
      <w:r>
        <w:rPr>
          <w:rFonts w:hint="eastAsia" w:ascii="仿宋_GB2312" w:hAnsi="仿宋_GB2312" w:eastAsia="仿宋_GB2312" w:cs="仿宋_GB2312"/>
          <w:sz w:val="30"/>
          <w:szCs w:val="30"/>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二、部门预算构成</w:t>
      </w:r>
    </w:p>
    <w:p>
      <w:pPr>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w:t>
      </w:r>
      <w:bookmarkStart w:id="6" w:name="PO_part1Organization"/>
      <w:r>
        <w:rPr>
          <w:rFonts w:ascii="仿宋_GB2312" w:hAnsi="仿宋_GB2312" w:eastAsia="仿宋_GB2312" w:cs="仿宋_GB2312"/>
          <w:sz w:val="32"/>
          <w:szCs w:val="32"/>
        </w:rPr>
        <w:t xml:space="preserve"> </w:t>
      </w:r>
      <w:bookmarkEnd w:id="6"/>
      <w:r>
        <w:rPr>
          <w:rFonts w:hint="eastAsia" w:ascii="仿宋_GB2312" w:eastAsia="仿宋_GB2312"/>
          <w:vanish/>
          <w:sz w:val="32"/>
          <w:szCs w:val="32"/>
        </w:rPr>
        <w:t xml:space="preserve"> </w:t>
      </w:r>
      <w:r>
        <w:rPr>
          <w:rFonts w:hint="eastAsia" w:ascii="仿宋_GB2312" w:eastAsia="仿宋_GB2312"/>
          <w:sz w:val="32"/>
          <w:szCs w:val="32"/>
        </w:rPr>
        <w:t>本部门预算为汇总预算，包括：局本级预算，以及纳入编制范围的下属单位预算，本部门无下属单位，部门预算为局本级预算。</w:t>
      </w:r>
    </w:p>
    <w:p>
      <w:pPr>
        <w:spacing w:line="600" w:lineRule="exact"/>
        <w:ind w:firstLine="640" w:firstLineChars="200"/>
        <w:rPr>
          <w:rFonts w:ascii="黑体" w:hAnsi="黑体" w:eastAsia="黑体" w:cs="仿宋_GB2312"/>
          <w:sz w:val="32"/>
          <w:szCs w:val="32"/>
        </w:rPr>
      </w:pPr>
      <w:r>
        <w:rPr>
          <w:rFonts w:hint="eastAsia" w:ascii="黑体" w:hAnsi="黑体" w:eastAsia="黑体" w:cs="黑体"/>
          <w:sz w:val="32"/>
          <w:szCs w:val="32"/>
        </w:rPr>
        <w:t>三、</w:t>
      </w:r>
      <w:r>
        <w:rPr>
          <w:rFonts w:hint="eastAsia" w:ascii="黑体" w:hAnsi="黑体" w:eastAsia="黑体" w:cs="仿宋_GB2312"/>
          <w:sz w:val="32"/>
          <w:szCs w:val="32"/>
        </w:rPr>
        <w:t>部门机构设置</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分局设</w:t>
      </w:r>
      <w:r>
        <w:rPr>
          <w:rFonts w:hint="eastAsia" w:ascii="Times New Roman" w:hAnsi="Times New Roman" w:eastAsia="仿宋_GB2312"/>
          <w:sz w:val="32"/>
          <w:szCs w:val="32"/>
          <w:lang w:val="en-US" w:eastAsia="zh-CN"/>
        </w:rPr>
        <w:t>五</w:t>
      </w:r>
      <w:r>
        <w:rPr>
          <w:rFonts w:ascii="仿宋_GB2312" w:hAnsi="宋体" w:eastAsia="仿宋_GB2312"/>
          <w:sz w:val="32"/>
          <w:szCs w:val="32"/>
        </w:rPr>
        <w:t>个内设机构</w:t>
      </w:r>
      <w:r>
        <w:rPr>
          <w:rFonts w:hint="eastAsia" w:ascii="仿宋_GB2312" w:hAnsi="宋体" w:eastAsia="仿宋_GB2312"/>
          <w:sz w:val="32"/>
          <w:szCs w:val="32"/>
        </w:rPr>
        <w:t>：</w:t>
      </w:r>
      <w:r>
        <w:rPr>
          <w:rFonts w:hint="default" w:ascii="Times New Roman" w:hAnsi="Times New Roman" w:eastAsia="仿宋_GB2312" w:cs="Times New Roman"/>
          <w:sz w:val="32"/>
          <w:szCs w:val="32"/>
        </w:rPr>
        <w:t>办公室、应急救援股、危化股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执法股</w:t>
      </w:r>
      <w:r>
        <w:rPr>
          <w:rFonts w:hint="eastAsia" w:ascii="Times New Roman" w:hAnsi="Times New Roman" w:eastAsia="仿宋_GB2312" w:cs="Times New Roman"/>
          <w:sz w:val="32"/>
          <w:szCs w:val="32"/>
          <w:lang w:eastAsia="zh-CN"/>
        </w:rPr>
        <w:t>）、综合协调办公室及执法监察办公室</w:t>
      </w:r>
    </w:p>
    <w:p>
      <w:pPr>
        <w:spacing w:line="60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在编</w:t>
      </w:r>
      <w:r>
        <w:rPr>
          <w:rFonts w:hint="eastAsia" w:ascii="Times New Roman" w:hAnsi="Times New Roman" w:eastAsia="仿宋_GB2312"/>
          <w:sz w:val="32"/>
          <w:szCs w:val="32"/>
          <w:lang w:val="en-US" w:eastAsia="zh-CN"/>
        </w:rPr>
        <w:t>在岗</w:t>
      </w:r>
      <w:r>
        <w:rPr>
          <w:rFonts w:ascii="Times New Roman" w:hAnsi="Times New Roman" w:eastAsia="仿宋_GB2312"/>
          <w:sz w:val="32"/>
          <w:szCs w:val="32"/>
        </w:rPr>
        <w:t>人员1</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人，招聘人员1</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人，劳务派遣</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人。</w:t>
      </w:r>
    </w:p>
    <w:p>
      <w:pPr>
        <w:tabs>
          <w:tab w:val="center" w:pos="6979"/>
        </w:tabs>
        <w:spacing w:line="600" w:lineRule="exact"/>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 xml:space="preserve">第二部分  </w:t>
      </w:r>
      <w:bookmarkStart w:id="7" w:name="PO_part2Year1"/>
      <w:r>
        <w:rPr>
          <w:rFonts w:hint="eastAsia" w:ascii="方正小标宋简体" w:hAnsi="方正小标宋简体" w:eastAsia="方正小标宋简体" w:cs="方正小标宋简体"/>
          <w:sz w:val="44"/>
          <w:szCs w:val="44"/>
        </w:rPr>
        <w:t>202</w:t>
      </w:r>
      <w:bookmarkEnd w:id="7"/>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年部门预算表</w:t>
      </w:r>
    </w:p>
    <w:p>
      <w:pPr>
        <w:spacing w:line="600" w:lineRule="exact"/>
        <w:jc w:val="left"/>
      </w:pPr>
      <w:bookmarkStart w:id="8" w:name="PO_part2Table1"/>
    </w:p>
    <w:bookmarkEnd w:id="8"/>
    <w:p>
      <w:pPr>
        <w:widowControl/>
        <w:spacing w:line="600" w:lineRule="exac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注：</w:t>
      </w:r>
      <w:bookmarkStart w:id="9" w:name="PO_part2Table1Remark1"/>
      <w:r>
        <w:rPr>
          <w:rFonts w:ascii="Times New Roman" w:hAnsi="Times New Roman" w:eastAsiaTheme="minorEastAsia"/>
          <w:color w:val="000000"/>
          <w:kern w:val="0"/>
          <w:sz w:val="18"/>
          <w:szCs w:val="18"/>
        </w:rPr>
        <w:t xml:space="preserve"> 财政拨款收支情况包括一般公共预算、政府性基金预算、国有资本经营预算拨款收支情况。</w:t>
      </w:r>
      <w:bookmarkEnd w:id="9"/>
    </w:p>
    <w:tbl>
      <w:tblPr>
        <w:tblW w:w="11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62"/>
        <w:gridCol w:w="4706"/>
        <w:gridCol w:w="4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9" w:hRule="atLeast"/>
        </w:trPr>
        <w:tc>
          <w:tcPr>
            <w:tcW w:w="11761" w:type="dxa"/>
            <w:gridSpan w:val="3"/>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收入项目预算表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7169" w:type="dxa"/>
            <w:gridSpan w:val="2"/>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4592" w:type="dxa"/>
            <w:tcBorders>
              <w:top w:val="nil"/>
              <w:left w:val="nil"/>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行号</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收入项目名称</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财政拨款收入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预算拨款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一般公共预算拨款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预算安排拨款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涉非税支出拨款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基金预算拨款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4706"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国资预算拨款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财政专户拨款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教育收费</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其他财政专户拨款</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自有收入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上级补助收入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附属单位上缴收入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用事业基金弥补收支差额</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事业单位经营收入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4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其他收入</w:t>
            </w:r>
          </w:p>
        </w:tc>
        <w:tc>
          <w:tcPr>
            <w:tcW w:w="459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bl>
    <w:p>
      <w:pPr>
        <w:widowControl/>
        <w:spacing w:line="600" w:lineRule="exact"/>
        <w:textAlignment w:val="cente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spacing w:line="600" w:lineRule="exact"/>
        <w:rPr>
          <w:rFonts w:ascii="宋体" w:hAnsi="宋体"/>
          <w:sz w:val="18"/>
          <w:szCs w:val="18"/>
        </w:rPr>
      </w:pPr>
      <w:bookmarkStart w:id="10" w:name="PO_part2Table4"/>
    </w:p>
    <w:bookmarkEnd w:id="10"/>
    <w:p>
      <w:pPr>
        <w:spacing w:line="600" w:lineRule="exact"/>
      </w:pPr>
      <w:bookmarkStart w:id="11" w:name="PO_part1remark5"/>
      <w:r>
        <w:rPr>
          <w:rFonts w:hint="eastAsia" w:ascii="宋体" w:hAnsi="宋体" w:cs="宋体"/>
          <w:color w:val="000000"/>
          <w:kern w:val="0"/>
          <w:sz w:val="18"/>
          <w:szCs w:val="18"/>
        </w:rPr>
        <w:t xml:space="preserve"> </w:t>
      </w:r>
      <w:bookmarkEnd w:id="11"/>
      <w:bookmarkStart w:id="12" w:name="PO_part2Table6and7"/>
    </w:p>
    <w:bookmarkEnd w:id="12"/>
    <w:tbl>
      <w:tblPr>
        <w:tblW w:w="10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60"/>
        <w:gridCol w:w="2264"/>
        <w:gridCol w:w="3337"/>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682"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8663"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2019"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53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一、预算拨款</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二、财政专户拨款</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三、其他资金</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十四、资源勘探信息等支出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二十、国有资本经营预算支出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二十一、粮油物资储备支出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本年收入合计</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四、上级补助收入</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二十四、对附属单位补助支出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五、附属单位上缴收入</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二十五、上缴上级支出</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六、用事业基金弥补收支差额</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二十六、结转下年</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3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收入总计</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支出总计</w:t>
            </w:r>
          </w:p>
        </w:tc>
        <w:tc>
          <w:tcPr>
            <w:tcW w:w="20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spacing w:line="600" w:lineRule="exact"/>
      </w:pPr>
      <w:bookmarkStart w:id="13" w:name="PO_part2Table8"/>
    </w:p>
    <w:bookmarkEnd w:id="13"/>
    <w:tbl>
      <w:tblPr>
        <w:tblW w:w="122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31"/>
        <w:gridCol w:w="1354"/>
        <w:gridCol w:w="395"/>
        <w:gridCol w:w="405"/>
        <w:gridCol w:w="116"/>
        <w:gridCol w:w="435"/>
        <w:gridCol w:w="187"/>
        <w:gridCol w:w="518"/>
        <w:gridCol w:w="196"/>
        <w:gridCol w:w="419"/>
        <w:gridCol w:w="221"/>
        <w:gridCol w:w="73"/>
        <w:gridCol w:w="641"/>
        <w:gridCol w:w="444"/>
        <w:gridCol w:w="135"/>
        <w:gridCol w:w="61"/>
        <w:gridCol w:w="714"/>
        <w:gridCol w:w="54"/>
        <w:gridCol w:w="413"/>
        <w:gridCol w:w="32"/>
        <w:gridCol w:w="141"/>
        <w:gridCol w:w="714"/>
        <w:gridCol w:w="89"/>
        <w:gridCol w:w="551"/>
        <w:gridCol w:w="69"/>
        <w:gridCol w:w="46"/>
        <w:gridCol w:w="193"/>
        <w:gridCol w:w="160"/>
        <w:gridCol w:w="246"/>
        <w:gridCol w:w="640"/>
        <w:gridCol w:w="88"/>
        <w:gridCol w:w="1064"/>
        <w:gridCol w:w="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55" w:hRule="atLeast"/>
        </w:trPr>
        <w:tc>
          <w:tcPr>
            <w:tcW w:w="12045" w:type="dxa"/>
            <w:gridSpan w:val="32"/>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0007" w:type="dxa"/>
            <w:gridSpan w:val="28"/>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974" w:type="dxa"/>
            <w:gridSpan w:val="3"/>
            <w:tcBorders>
              <w:top w:val="nil"/>
              <w:left w:val="nil"/>
              <w:bottom w:val="nil"/>
              <w:right w:val="nil"/>
            </w:tcBorders>
            <w:shd w:val="clear"/>
            <w:vAlign w:val="center"/>
          </w:tcPr>
          <w:p>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393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功能分类科目</w:t>
            </w:r>
          </w:p>
        </w:tc>
        <w:tc>
          <w:tcPr>
            <w:tcW w:w="132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79"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409"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c>
          <w:tcPr>
            <w:tcW w:w="94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事业单位经营支出</w:t>
            </w:r>
          </w:p>
        </w:tc>
        <w:tc>
          <w:tcPr>
            <w:tcW w:w="1019"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对附属单位补助支出</w:t>
            </w:r>
          </w:p>
        </w:tc>
        <w:tc>
          <w:tcPr>
            <w:tcW w:w="97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上缴上级支出</w:t>
            </w:r>
          </w:p>
        </w:tc>
        <w:tc>
          <w:tcPr>
            <w:tcW w:w="10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结转下年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2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79"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409"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4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19"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7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灾害防治及应急管理支出</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22401</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应急管理事务</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2240101</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行政运行</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2240106</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安全监管</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128.98</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128.98</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2" w:type="dxa"/>
          <w:trHeight w:val="402"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2240109</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应急管理</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519.02</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519.02</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02" w:type="dxa"/>
          <w:trHeight w:val="270" w:hRule="atLeast"/>
        </w:trPr>
        <w:tc>
          <w:tcPr>
            <w:tcW w:w="12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2240199</w:t>
            </w:r>
          </w:p>
        </w:tc>
        <w:tc>
          <w:tcPr>
            <w:tcW w:w="27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其他应急管理支出</w:t>
            </w:r>
          </w:p>
        </w:tc>
        <w:tc>
          <w:tcPr>
            <w:tcW w:w="132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c>
          <w:tcPr>
            <w:tcW w:w="1379"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409"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c>
          <w:tcPr>
            <w:tcW w:w="94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19"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97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55" w:hRule="atLeast"/>
        </w:trPr>
        <w:tc>
          <w:tcPr>
            <w:tcW w:w="9608" w:type="dxa"/>
            <w:gridSpan w:val="25"/>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8012" w:type="dxa"/>
            <w:gridSpan w:val="19"/>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1596" w:type="dxa"/>
            <w:gridSpan w:val="6"/>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4641"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4967" w:type="dxa"/>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二十四、结转下年</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29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收入总计</w:t>
            </w:r>
          </w:p>
        </w:tc>
        <w:tc>
          <w:tcPr>
            <w:tcW w:w="166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3371"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支出总计</w:t>
            </w:r>
          </w:p>
        </w:tc>
        <w:tc>
          <w:tcPr>
            <w:tcW w:w="159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2639" w:type="dxa"/>
          <w:trHeight w:val="402" w:hRule="atLeast"/>
        </w:trPr>
        <w:tc>
          <w:tcPr>
            <w:tcW w:w="9608" w:type="dxa"/>
            <w:gridSpan w:val="2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注：表中功能分类科目，根据各部门实际预算编制情况编列。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55" w:hRule="atLeast"/>
        </w:trPr>
        <w:tc>
          <w:tcPr>
            <w:tcW w:w="9654" w:type="dxa"/>
            <w:gridSpan w:val="26"/>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7"/>
          <w:wAfter w:w="2593" w:type="dxa"/>
          <w:trHeight w:val="402" w:hRule="atLeast"/>
        </w:trPr>
        <w:tc>
          <w:tcPr>
            <w:tcW w:w="7599" w:type="dxa"/>
            <w:gridSpan w:val="18"/>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2055" w:type="dxa"/>
            <w:gridSpan w:val="8"/>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功能科目名称</w:t>
            </w:r>
          </w:p>
        </w:tc>
        <w:tc>
          <w:tcPr>
            <w:tcW w:w="6153" w:type="dxa"/>
            <w:gridSpan w:val="2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其中：基本支出</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1,360.92</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[221]住房保障支出</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[22102]住房改革支出</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[2210201]住房公积金</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[224]灾害防治及应急管理支出</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[22401]应急管理事务</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1,330.32</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[2240101]行政运行</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681.68</w:t>
            </w: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[2240106]安全监管</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128.98</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2593" w:type="dxa"/>
          <w:trHeight w:val="402"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[2240109]应急管理</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519.02</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7"/>
          <w:wAfter w:w="2593" w:type="dxa"/>
          <w:trHeight w:val="286" w:hRule="atLeast"/>
        </w:trPr>
        <w:tc>
          <w:tcPr>
            <w:tcW w:w="3501"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[2240199]其他应急管理支出</w:t>
            </w:r>
          </w:p>
        </w:tc>
        <w:tc>
          <w:tcPr>
            <w:tcW w:w="2049"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c>
          <w:tcPr>
            <w:tcW w:w="2049" w:type="dxa"/>
            <w:gridSpan w:val="6"/>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205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55" w:hRule="atLeast"/>
        </w:trPr>
        <w:tc>
          <w:tcPr>
            <w:tcW w:w="9847" w:type="dxa"/>
            <w:gridSpan w:val="2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一般公共预算基本支出情况表（按经济分类科目）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6770" w:type="dxa"/>
            <w:gridSpan w:val="15"/>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3077" w:type="dxa"/>
            <w:gridSpan w:val="12"/>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部门预算支出经济科目</w:t>
            </w:r>
          </w:p>
        </w:tc>
        <w:tc>
          <w:tcPr>
            <w:tcW w:w="3385" w:type="dxa"/>
            <w:gridSpan w:val="11"/>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政府预算支出经济科目</w:t>
            </w:r>
          </w:p>
        </w:tc>
        <w:tc>
          <w:tcPr>
            <w:tcW w:w="3077" w:type="dxa"/>
            <w:gridSpan w:val="1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385" w:type="dxa"/>
            <w:gridSpan w:val="11"/>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077" w:type="dxa"/>
            <w:gridSpan w:val="1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[301]工资福利支出</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[501]机关工资福利支出</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[30101]基本工资</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[50101]工资奖金津补贴</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[30102]津贴补贴</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[50101]工资奖金津补贴</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[30103]奖金</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[50101]工资奖金津补贴</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56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[30108]机关事业单位基本养老保险缴费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[50102]社会保障缴费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[30109]职业年金缴费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[50102]社会保障缴费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[30110]职工基本医疗保险缴费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[50102]社会保障缴费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[30112]其他社会保障缴费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[50102]社会保障缴费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[30113]住房公积金</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[50103]住房公积金</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[30199]其他工资福利支出</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[50199]其他工资福利支出</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[302]商品和服务支出</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[502]机关商品和服务支出</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[30201]办公费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[50201]办公经费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[30207]邮电费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[50201]办公经费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402"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[30217]公务接待费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[50206]公务接待费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270"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[30229]福利费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[50201]办公经费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270"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[30239]其他交通费用</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[50201]办公经费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270"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[303]对个人和家庭的补助</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[509]对个人和家庭的补助</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400" w:type="dxa"/>
          <w:trHeight w:val="270"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[30302]退休费</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[50905]离退休费</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6"/>
          <w:wAfter w:w="2400" w:type="dxa"/>
          <w:trHeight w:val="270" w:hRule="atLeast"/>
        </w:trPr>
        <w:tc>
          <w:tcPr>
            <w:tcW w:w="33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[30307]医疗费补助</w:t>
            </w:r>
          </w:p>
        </w:tc>
        <w:tc>
          <w:tcPr>
            <w:tcW w:w="338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[50901]社会福利和救助</w:t>
            </w:r>
          </w:p>
        </w:tc>
        <w:tc>
          <w:tcPr>
            <w:tcW w:w="3077"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994" w:type="dxa"/>
          <w:trHeight w:val="455" w:hRule="atLeast"/>
        </w:trPr>
        <w:tc>
          <w:tcPr>
            <w:tcW w:w="10253" w:type="dxa"/>
            <w:gridSpan w:val="2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财政拨款安排的行政经费及“三公”经费预算表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8899" w:type="dxa"/>
            <w:gridSpan w:val="22"/>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1354"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1354"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1354"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1354"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行政经费</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109.05</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109.05</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w:t>
            </w:r>
          </w:p>
        </w:tc>
        <w:tc>
          <w:tcPr>
            <w:tcW w:w="1354" w:type="dxa"/>
            <w:gridSpan w:val="4"/>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其中：（一）因公出国（境）支出</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（二）公务用车购置及运行维护支出</w:t>
            </w:r>
          </w:p>
        </w:tc>
        <w:tc>
          <w:tcPr>
            <w:tcW w:w="1354" w:type="dxa"/>
            <w:gridSpan w:val="4"/>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1.公务用车购置费</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2.公务用车运行维护费</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402" w:hRule="atLeast"/>
        </w:trPr>
        <w:tc>
          <w:tcPr>
            <w:tcW w:w="483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（三）公务接待费支出</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256" w:hRule="atLeast"/>
        </w:trPr>
        <w:tc>
          <w:tcPr>
            <w:tcW w:w="4837" w:type="dxa"/>
            <w:gridSpan w:val="9"/>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w:t>
            </w:r>
          </w:p>
        </w:tc>
        <w:tc>
          <w:tcPr>
            <w:tcW w:w="1354" w:type="dxa"/>
            <w:gridSpan w:val="4"/>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354" w:type="dxa"/>
            <w:gridSpan w:val="4"/>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354" w:type="dxa"/>
            <w:gridSpan w:val="5"/>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1354" w:type="dxa"/>
            <w:gridSpan w:val="7"/>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90" w:hRule="atLeast"/>
        </w:trPr>
        <w:tc>
          <w:tcPr>
            <w:tcW w:w="10253" w:type="dxa"/>
            <w:gridSpan w:val="29"/>
            <w:tcBorders>
              <w:top w:val="nil"/>
              <w:left w:val="nil"/>
              <w:bottom w:val="nil"/>
              <w:right w:val="nil"/>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行政经费是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994" w:type="dxa"/>
          <w:trHeight w:val="90" w:hRule="atLeast"/>
        </w:trPr>
        <w:tc>
          <w:tcPr>
            <w:tcW w:w="10253" w:type="dxa"/>
            <w:gridSpan w:val="29"/>
            <w:tcBorders>
              <w:top w:val="nil"/>
              <w:left w:val="nil"/>
              <w:bottom w:val="nil"/>
              <w:right w:val="nil"/>
            </w:tcBorders>
            <w:shd w:val="clear"/>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三公”经费包括因公出国（境）经费、公务用车购置及运行维护费和公务接待费。其中：因公出国（境）经费在指行政单位、事业单位工作人员公务出国（境）的住宿费、差旅费、伙食补助费、杂费、培训费等支出；公务用车购置及运行维护费指行政单位、事业单位公务用车购置费、公务用车租用费、燃料费、维修费、过桥过路费、保险费等支出；公务接待费指行政单位、事业单位按规定开支的各类公务接待（外宾接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2247" w:type="dxa"/>
            <w:gridSpan w:val="3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30"/>
                <w:szCs w:val="3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539" w:type="dxa"/>
            <w:gridSpan w:val="2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单位名称：东莞市应急管理局松山湖分局</w:t>
            </w:r>
          </w:p>
        </w:tc>
        <w:tc>
          <w:tcPr>
            <w:tcW w:w="1354" w:type="dxa"/>
            <w:gridSpan w:val="6"/>
            <w:tcBorders>
              <w:top w:val="nil"/>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58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支出项目类别（资金使用单位）</w:t>
            </w:r>
          </w:p>
        </w:tc>
        <w:tc>
          <w:tcPr>
            <w:tcW w:w="1538"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 计</w:t>
            </w:r>
          </w:p>
        </w:tc>
        <w:tc>
          <w:tcPr>
            <w:tcW w:w="5416" w:type="dxa"/>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财政拨款</w:t>
            </w:r>
          </w:p>
        </w:tc>
        <w:tc>
          <w:tcPr>
            <w:tcW w:w="1354"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财政专户拨款</w:t>
            </w:r>
          </w:p>
        </w:tc>
        <w:tc>
          <w:tcPr>
            <w:tcW w:w="135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8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8"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135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基金预算</w:t>
            </w:r>
          </w:p>
        </w:tc>
        <w:tc>
          <w:tcPr>
            <w:tcW w:w="135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经营预算</w:t>
            </w:r>
          </w:p>
        </w:tc>
        <w:tc>
          <w:tcPr>
            <w:tcW w:w="1354"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35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53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c>
          <w:tcPr>
            <w:tcW w:w="1354"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712.28</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工资和福利支出</w:t>
            </w:r>
          </w:p>
        </w:tc>
        <w:tc>
          <w:tcPr>
            <w:tcW w:w="153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634.11</w:t>
            </w:r>
          </w:p>
        </w:tc>
        <w:tc>
          <w:tcPr>
            <w:tcW w:w="1354"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634.11</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634.11</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商品和服务支出</w:t>
            </w:r>
          </w:p>
        </w:tc>
        <w:tc>
          <w:tcPr>
            <w:tcW w:w="153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66.85</w:t>
            </w:r>
          </w:p>
        </w:tc>
        <w:tc>
          <w:tcPr>
            <w:tcW w:w="1354"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66.85</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66.85</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8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对个人和家庭的补助</w:t>
            </w:r>
          </w:p>
        </w:tc>
        <w:tc>
          <w:tcPr>
            <w:tcW w:w="1538"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11.32</w:t>
            </w:r>
          </w:p>
        </w:tc>
        <w:tc>
          <w:tcPr>
            <w:tcW w:w="1354"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11.32</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11.32</w:t>
            </w:r>
          </w:p>
        </w:tc>
        <w:tc>
          <w:tcPr>
            <w:tcW w:w="1354"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6"/>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p>
    <w:p>
      <w:pPr>
        <w:tabs>
          <w:tab w:val="center" w:pos="6979"/>
        </w:tabs>
        <w:spacing w:after="312" w:afterLines="100"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bookmarkStart w:id="14" w:name="PO_part3Year1"/>
      <w:r>
        <w:rPr>
          <w:rFonts w:hint="eastAsia" w:ascii="方正小标宋简体" w:hAnsi="方正小标宋简体" w:eastAsia="方正小标宋简体" w:cs="方正小标宋简体"/>
          <w:sz w:val="44"/>
          <w:szCs w:val="44"/>
        </w:rPr>
        <w:t>202</w:t>
      </w:r>
      <w:bookmarkEnd w:id="14"/>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年部门预算情况说明</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2"/>
          <w:szCs w:val="32"/>
        </w:rPr>
        <w:t xml:space="preserve">   </w:t>
      </w:r>
      <w:bookmarkStart w:id="15" w:name="PO_part3A1Year1"/>
      <w:r>
        <w:rPr>
          <w:rFonts w:ascii="Times New Roman" w:hAnsi="Times New Roman" w:eastAsia="仿宋_GB2312"/>
          <w:sz w:val="32"/>
          <w:szCs w:val="32"/>
        </w:rPr>
        <w:t xml:space="preserve"> 202</w:t>
      </w:r>
      <w:bookmarkEnd w:id="15"/>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年本部门收入预算</w:t>
      </w:r>
      <w:r>
        <w:rPr>
          <w:rFonts w:hint="eastAsia" w:ascii="Times New Roman" w:hAnsi="Times New Roman" w:eastAsia="仿宋_GB2312"/>
          <w:sz w:val="32"/>
          <w:szCs w:val="32"/>
          <w:lang w:val="en-US" w:eastAsia="zh-CN"/>
        </w:rPr>
        <w:t>1360.92</w:t>
      </w:r>
      <w:r>
        <w:rPr>
          <w:rFonts w:ascii="Times New Roman" w:hAnsi="Times New Roman" w:eastAsia="仿宋_GB2312"/>
          <w:sz w:val="32"/>
          <w:szCs w:val="32"/>
        </w:rPr>
        <w:t>万元，比上年</w:t>
      </w:r>
      <w:r>
        <w:rPr>
          <w:rFonts w:hint="eastAsia" w:ascii="Times New Roman" w:hAnsi="Times New Roman" w:eastAsia="仿宋_GB2312"/>
          <w:sz w:val="32"/>
          <w:szCs w:val="32"/>
          <w:lang w:val="en-US" w:eastAsia="zh-CN"/>
        </w:rPr>
        <w:t>增加64.05</w:t>
      </w:r>
      <w:r>
        <w:rPr>
          <w:rFonts w:ascii="Times New Roman" w:hAnsi="Times New Roman" w:eastAsia="仿宋_GB2312"/>
          <w:sz w:val="32"/>
          <w:szCs w:val="32"/>
        </w:rPr>
        <w:t>万元，</w:t>
      </w:r>
      <w:r>
        <w:rPr>
          <w:rFonts w:hint="eastAsia" w:ascii="Times New Roman" w:hAnsi="Times New Roman" w:eastAsia="仿宋_GB2312"/>
          <w:sz w:val="32"/>
          <w:szCs w:val="32"/>
          <w:lang w:val="en-US" w:eastAsia="zh-CN"/>
        </w:rPr>
        <w:t>增加4.7</w:t>
      </w:r>
      <w:r>
        <w:rPr>
          <w:rFonts w:ascii="Times New Roman" w:hAnsi="Times New Roman" w:eastAsia="仿宋_GB2312"/>
          <w:sz w:val="32"/>
          <w:szCs w:val="32"/>
        </w:rPr>
        <w:t>%，主要原因是预算项目</w:t>
      </w:r>
      <w:r>
        <w:rPr>
          <w:rFonts w:hint="eastAsia" w:ascii="Times New Roman" w:hAnsi="Times New Roman" w:eastAsia="仿宋_GB2312"/>
          <w:sz w:val="32"/>
          <w:szCs w:val="32"/>
          <w:lang w:val="en-US" w:eastAsia="zh-CN"/>
        </w:rPr>
        <w:t>增加</w:t>
      </w:r>
      <w:r>
        <w:rPr>
          <w:rFonts w:ascii="Times New Roman" w:hAnsi="Times New Roman" w:eastAsia="仿宋_GB2312"/>
          <w:sz w:val="32"/>
          <w:szCs w:val="32"/>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0"/>
          <w:szCs w:val="30"/>
        </w:rPr>
        <w:t xml:space="preserve">   </w:t>
      </w:r>
      <w:bookmarkStart w:id="16" w:name="PO_part3A2Year1"/>
      <w:r>
        <w:rPr>
          <w:rFonts w:ascii="仿宋_GB2312" w:hAnsi="仿宋_GB2312" w:eastAsia="仿宋_GB2312" w:cs="仿宋_GB2312"/>
          <w:sz w:val="30"/>
          <w:szCs w:val="30"/>
        </w:rPr>
        <w:t xml:space="preserve"> </w:t>
      </w:r>
      <w:bookmarkEnd w:id="16"/>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ascii="Times New Roman" w:hAnsi="仿宋_GB2312" w:eastAsia="仿宋_GB2312"/>
          <w:sz w:val="32"/>
          <w:szCs w:val="32"/>
        </w:rPr>
        <w:t>年本部门财政拨款安排</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w:t>
      </w:r>
      <w:r>
        <w:rPr>
          <w:rFonts w:hint="eastAsia" w:ascii="Times New Roman" w:hAnsi="Times New Roman" w:eastAsia="仿宋_GB2312"/>
          <w:sz w:val="32"/>
          <w:szCs w:val="32"/>
          <w:lang w:val="en-US" w:eastAsia="zh-CN"/>
        </w:rPr>
        <w:t>6.6</w:t>
      </w:r>
      <w:r>
        <w:rPr>
          <w:rFonts w:ascii="Times New Roman" w:hAnsi="仿宋_GB2312" w:eastAsia="仿宋_GB2312"/>
          <w:sz w:val="32"/>
          <w:szCs w:val="32"/>
        </w:rPr>
        <w:t>万元，公务用车运行维护费</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w:t>
      </w:r>
      <w:r>
        <w:rPr>
          <w:rFonts w:hint="eastAsia" w:ascii="Times New Roman" w:hAnsi="仿宋_GB2312" w:eastAsia="仿宋_GB2312"/>
          <w:sz w:val="32"/>
          <w:szCs w:val="32"/>
          <w:lang w:val="en-US" w:eastAsia="zh-CN"/>
        </w:rPr>
        <w:t>与上年持平，</w:t>
      </w:r>
      <w:r>
        <w:rPr>
          <w:rFonts w:ascii="Times New Roman" w:hAnsi="仿宋_GB2312" w:eastAsia="仿宋_GB2312"/>
          <w:sz w:val="32"/>
          <w:szCs w:val="32"/>
        </w:rPr>
        <w:t>无增减变化</w:t>
      </w:r>
      <w:r>
        <w:rPr>
          <w:rFonts w:ascii="Times New Roman" w:hAnsi="仿宋_GB2312" w:eastAsia="仿宋_GB2312"/>
          <w:sz w:val="32"/>
          <w:szCs w:val="32"/>
        </w:rPr>
        <w:t>。其中：因公出国（境）费</w:t>
      </w:r>
      <w:r>
        <w:rPr>
          <w:rFonts w:ascii="Times New Roman" w:hAnsi="Times New Roman" w:eastAsia="仿宋_GB2312"/>
          <w:sz w:val="32"/>
          <w:szCs w:val="32"/>
        </w:rPr>
        <w:t>0</w:t>
      </w:r>
      <w:r>
        <w:rPr>
          <w:rFonts w:ascii="Times New Roman" w:hAnsi="仿宋_GB2312" w:eastAsia="仿宋_GB2312"/>
          <w:sz w:val="32"/>
          <w:szCs w:val="32"/>
        </w:rPr>
        <w:t>万元，</w:t>
      </w:r>
      <w:bookmarkStart w:id="17" w:name="PO_part3A2IncReason2"/>
      <w:r>
        <w:rPr>
          <w:rFonts w:ascii="Times New Roman" w:hAnsi="仿宋_GB2312" w:eastAsia="仿宋_GB2312"/>
          <w:sz w:val="32"/>
          <w:szCs w:val="32"/>
        </w:rPr>
        <w:t>与上年持平，无增减变化</w:t>
      </w:r>
      <w:bookmarkEnd w:id="17"/>
      <w:r>
        <w:rPr>
          <w:rFonts w:ascii="Times New Roman" w:hAnsi="仿宋_GB2312" w:eastAsia="仿宋_GB2312"/>
          <w:sz w:val="32"/>
          <w:szCs w:val="32"/>
        </w:rPr>
        <w:t>；公务接待费</w:t>
      </w:r>
      <w:bookmarkStart w:id="18" w:name="PO_part3A2Amount6"/>
      <w:r>
        <w:rPr>
          <w:rFonts w:hint="eastAsia" w:ascii="Times New Roman" w:hAnsi="Times New Roman" w:eastAsia="仿宋_GB2312"/>
          <w:sz w:val="32"/>
          <w:szCs w:val="32"/>
          <w:lang w:val="en-US" w:eastAsia="zh-CN"/>
        </w:rPr>
        <w:t>3</w:t>
      </w:r>
      <w:r>
        <w:rPr>
          <w:rFonts w:ascii="Times New Roman" w:hAnsi="Times New Roman" w:eastAsia="仿宋_GB2312"/>
          <w:sz w:val="32"/>
          <w:szCs w:val="32"/>
        </w:rPr>
        <w:t xml:space="preserve"> </w:t>
      </w:r>
      <w:bookmarkEnd w:id="18"/>
      <w:r>
        <w:rPr>
          <w:rFonts w:ascii="Times New Roman" w:hAnsi="仿宋_GB2312" w:eastAsia="仿宋_GB2312"/>
          <w:sz w:val="32"/>
          <w:szCs w:val="32"/>
        </w:rPr>
        <w:t>万元，</w:t>
      </w:r>
      <w:bookmarkStart w:id="19" w:name="PO_part3A2IncReason4"/>
      <w:r>
        <w:rPr>
          <w:rFonts w:hint="eastAsia" w:ascii="Times New Roman" w:hAnsi="仿宋_GB2312" w:eastAsia="仿宋_GB2312"/>
          <w:sz w:val="32"/>
          <w:szCs w:val="32"/>
          <w:lang w:val="en-US" w:eastAsia="zh-CN"/>
        </w:rPr>
        <w:t>比上年增多</w:t>
      </w:r>
      <w:r>
        <w:rPr>
          <w:rFonts w:ascii="Times New Roman" w:hAnsi="仿宋_GB2312" w:eastAsia="仿宋_GB2312"/>
          <w:sz w:val="32"/>
          <w:szCs w:val="32"/>
        </w:rPr>
        <w:t>，</w:t>
      </w:r>
      <w:bookmarkEnd w:id="19"/>
      <w:r>
        <w:rPr>
          <w:rFonts w:hint="eastAsia" w:ascii="Times New Roman" w:hAnsi="仿宋_GB2312" w:eastAsia="仿宋_GB2312"/>
          <w:sz w:val="32"/>
          <w:szCs w:val="32"/>
          <w:lang w:val="en-US" w:eastAsia="zh-CN"/>
        </w:rPr>
        <w:t>主要原因分局安全检查工作任务和省市部门前来松山湖调研工作较多，接待费用增加</w:t>
      </w:r>
      <w:r>
        <w:rPr>
          <w:rFonts w:ascii="Times New Roman" w:hAnsi="仿宋_GB2312" w:eastAsia="仿宋_GB2312"/>
          <w:sz w:val="32"/>
          <w:szCs w:val="32"/>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spacing w:line="600" w:lineRule="exact"/>
        <w:ind w:firstLine="600"/>
        <w:rPr>
          <w:rFonts w:ascii="仿宋_GB2312" w:hAnsi="仿宋_GB2312" w:eastAsia="仿宋_GB2312" w:cs="仿宋_GB2312"/>
          <w:color w:val="auto"/>
          <w:sz w:val="30"/>
          <w:szCs w:val="30"/>
          <w:highlight w:val="none"/>
        </w:rPr>
      </w:pPr>
      <w:r>
        <w:rPr>
          <w:rFonts w:ascii="Times New Roman" w:hAnsi="仿宋_GB2312" w:eastAsia="仿宋_GB2312"/>
          <w:sz w:val="32"/>
          <w:szCs w:val="32"/>
        </w:rPr>
        <w:t>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r>
        <w:rPr>
          <w:rFonts w:ascii="Times New Roman" w:hAnsi="仿宋_GB2312"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2025</w:t>
      </w:r>
      <w:r>
        <w:rPr>
          <w:rFonts w:ascii="Times New Roman" w:hAnsi="仿宋_GB2312" w:eastAsia="仿宋_GB2312"/>
          <w:color w:val="auto"/>
          <w:sz w:val="32"/>
          <w:szCs w:val="32"/>
          <w:highlight w:val="none"/>
        </w:rPr>
        <w:t>年，本部门机关运行经费安排</w:t>
      </w:r>
      <w:r>
        <w:rPr>
          <w:rFonts w:hint="eastAsia" w:ascii="Times New Roman" w:hAnsi="仿宋_GB2312" w:eastAsia="仿宋_GB2312"/>
          <w:color w:val="auto"/>
          <w:sz w:val="32"/>
          <w:szCs w:val="32"/>
          <w:highlight w:val="none"/>
          <w:lang w:val="en-US" w:eastAsia="zh-CN"/>
        </w:rPr>
        <w:t>109.05</w:t>
      </w:r>
      <w:r>
        <w:rPr>
          <w:rFonts w:ascii="Times New Roman" w:hAnsi="仿宋_GB2312" w:eastAsia="仿宋_GB2312"/>
          <w:color w:val="auto"/>
          <w:sz w:val="32"/>
          <w:szCs w:val="32"/>
          <w:highlight w:val="none"/>
        </w:rPr>
        <w:t>万元，比上年减少</w:t>
      </w:r>
      <w:r>
        <w:rPr>
          <w:rFonts w:hint="eastAsia" w:ascii="Times New Roman" w:hAnsi="仿宋_GB2312" w:eastAsia="仿宋_GB2312"/>
          <w:color w:val="auto"/>
          <w:sz w:val="32"/>
          <w:szCs w:val="32"/>
          <w:highlight w:val="none"/>
          <w:lang w:val="en-US" w:eastAsia="zh-CN"/>
        </w:rPr>
        <w:t>27.22</w:t>
      </w:r>
      <w:r>
        <w:rPr>
          <w:rFonts w:ascii="Times New Roman" w:hAnsi="仿宋_GB2312" w:eastAsia="仿宋_GB2312"/>
          <w:color w:val="auto"/>
          <w:sz w:val="32"/>
          <w:szCs w:val="32"/>
          <w:highlight w:val="none"/>
        </w:rPr>
        <w:t>万元，</w:t>
      </w:r>
      <w:r>
        <w:rPr>
          <w:rFonts w:hint="eastAsia" w:ascii="Times New Roman" w:hAnsi="仿宋_GB2312"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24.96</w:t>
      </w:r>
      <w:r>
        <w:rPr>
          <w:rFonts w:ascii="Times New Roman" w:hAnsi="Times New Roman" w:eastAsia="仿宋_GB2312"/>
          <w:color w:val="auto"/>
          <w:sz w:val="32"/>
          <w:szCs w:val="32"/>
          <w:highlight w:val="none"/>
        </w:rPr>
        <w:t>%</w:t>
      </w:r>
      <w:r>
        <w:rPr>
          <w:rFonts w:ascii="Times New Roman" w:hAnsi="仿宋_GB2312" w:eastAsia="仿宋_GB2312"/>
          <w:color w:val="auto"/>
          <w:sz w:val="32"/>
          <w:szCs w:val="32"/>
          <w:highlight w:val="none"/>
        </w:rPr>
        <w:t>，增加主要原因是</w:t>
      </w:r>
      <w:r>
        <w:rPr>
          <w:rFonts w:hint="eastAsia" w:ascii="Times New Roman" w:hAnsi="仿宋_GB2312" w:eastAsia="仿宋_GB2312"/>
          <w:color w:val="auto"/>
          <w:sz w:val="32"/>
          <w:szCs w:val="32"/>
          <w:highlight w:val="none"/>
          <w:lang w:val="en-US" w:eastAsia="zh-CN"/>
        </w:rPr>
        <w:t>增加办公设备购置、专用设备购置、信息网络及软件购置更新</w:t>
      </w:r>
      <w:r>
        <w:rPr>
          <w:rFonts w:hint="eastAsia" w:ascii="Times New Roman" w:hAnsi="仿宋_GB2312" w:eastAsia="仿宋_GB2312"/>
          <w:color w:val="auto"/>
          <w:sz w:val="32"/>
          <w:szCs w:val="32"/>
          <w:highlight w:val="none"/>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spacing w:line="600" w:lineRule="exact"/>
        <w:ind w:firstLine="640" w:firstLineChars="200"/>
        <w:rPr>
          <w:rFonts w:ascii="Times New Roman" w:hAnsi="Times New Roman" w:eastAsia="仿宋_GB2312"/>
          <w:sz w:val="32"/>
          <w:szCs w:val="32"/>
          <w:highlight w:val="none"/>
        </w:rPr>
      </w:pPr>
      <w:bookmarkStart w:id="20" w:name="PO_part3A4Year1"/>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 xml:space="preserve"> </w:t>
      </w:r>
      <w:bookmarkEnd w:id="20"/>
      <w:r>
        <w:rPr>
          <w:rFonts w:ascii="Times New Roman" w:hAnsi="仿宋_GB2312" w:eastAsia="仿宋_GB2312"/>
          <w:sz w:val="32"/>
          <w:szCs w:val="32"/>
          <w:highlight w:val="none"/>
        </w:rPr>
        <w:t>年本部门政府采购安排</w:t>
      </w:r>
      <w:r>
        <w:rPr>
          <w:rFonts w:hint="eastAsia" w:ascii="Times New Roman" w:hAnsi="Times New Roman" w:eastAsia="仿宋_GB2312"/>
          <w:sz w:val="32"/>
          <w:szCs w:val="32"/>
          <w:highlight w:val="none"/>
          <w:lang w:val="en-US" w:eastAsia="zh-CN"/>
        </w:rPr>
        <w:t>615</w:t>
      </w:r>
      <w:r>
        <w:rPr>
          <w:rFonts w:ascii="Times New Roman" w:hAnsi="仿宋_GB2312" w:eastAsia="仿宋_GB2312"/>
          <w:sz w:val="32"/>
          <w:szCs w:val="32"/>
          <w:highlight w:val="none"/>
        </w:rPr>
        <w:t>万元，其中：货物类采购预算</w:t>
      </w:r>
      <w:r>
        <w:rPr>
          <w:rFonts w:hint="eastAsia" w:ascii="Times New Roman" w:hAnsi="Times New Roman" w:eastAsia="仿宋_GB2312"/>
          <w:sz w:val="32"/>
          <w:szCs w:val="32"/>
          <w:highlight w:val="none"/>
          <w:lang w:val="en-US" w:eastAsia="zh-CN"/>
        </w:rPr>
        <w:t>25</w:t>
      </w:r>
      <w:r>
        <w:rPr>
          <w:rFonts w:ascii="Times New Roman" w:hAnsi="仿宋_GB2312" w:eastAsia="仿宋_GB2312"/>
          <w:sz w:val="32"/>
          <w:szCs w:val="32"/>
          <w:highlight w:val="none"/>
        </w:rPr>
        <w:t>万元，工程类采购预算</w:t>
      </w:r>
      <w:r>
        <w:rPr>
          <w:rFonts w:hint="eastAsia" w:ascii="Times New Roman" w:hAnsi="Times New Roman" w:eastAsia="仿宋_GB2312"/>
          <w:sz w:val="32"/>
          <w:szCs w:val="32"/>
          <w:highlight w:val="none"/>
          <w:lang w:val="en-US" w:eastAsia="zh-CN"/>
        </w:rPr>
        <w:t>30</w:t>
      </w:r>
      <w:r>
        <w:rPr>
          <w:rFonts w:ascii="Times New Roman" w:hAnsi="仿宋_GB2312" w:eastAsia="仿宋_GB2312"/>
          <w:sz w:val="32"/>
          <w:szCs w:val="32"/>
          <w:highlight w:val="none"/>
        </w:rPr>
        <w:t>万元，服务类采购预算</w:t>
      </w:r>
      <w:r>
        <w:rPr>
          <w:rFonts w:hint="eastAsia" w:ascii="Times New Roman" w:hAnsi="Times New Roman" w:eastAsia="仿宋_GB2312"/>
          <w:sz w:val="32"/>
          <w:szCs w:val="32"/>
          <w:highlight w:val="none"/>
          <w:lang w:val="en-US" w:eastAsia="zh-CN"/>
        </w:rPr>
        <w:t>560</w:t>
      </w:r>
      <w:r>
        <w:rPr>
          <w:rFonts w:ascii="Times New Roman" w:hAnsi="仿宋_GB2312" w:eastAsia="仿宋_GB2312"/>
          <w:sz w:val="32"/>
          <w:szCs w:val="32"/>
          <w:highlight w:val="none"/>
        </w:rPr>
        <w:t>万元等。</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spacing w:line="600" w:lineRule="exact"/>
        <w:ind w:firstLine="600"/>
        <w:rPr>
          <w:rFonts w:ascii="Times New Roman" w:hAnsi="Times New Roman" w:eastAsia="仿宋_GB2312"/>
          <w:sz w:val="32"/>
          <w:szCs w:val="32"/>
        </w:rPr>
      </w:pPr>
      <w:r>
        <w:rPr>
          <w:rFonts w:hint="eastAsia" w:ascii="Times New Roman" w:hAnsi="仿宋_GB2312" w:eastAsia="仿宋_GB2312"/>
          <w:sz w:val="32"/>
          <w:szCs w:val="32"/>
        </w:rPr>
        <w:t>截至202</w:t>
      </w:r>
      <w:r>
        <w:rPr>
          <w:rFonts w:hint="eastAsia" w:ascii="Times New Roman" w:hAnsi="仿宋_GB2312" w:eastAsia="仿宋_GB2312"/>
          <w:sz w:val="32"/>
          <w:szCs w:val="32"/>
          <w:lang w:val="en-US" w:eastAsia="zh-CN"/>
        </w:rPr>
        <w:t>4</w:t>
      </w:r>
      <w:r>
        <w:rPr>
          <w:rFonts w:hint="eastAsia" w:ascii="Times New Roman" w:hAnsi="仿宋_GB2312" w:eastAsia="仿宋_GB2312"/>
          <w:sz w:val="32"/>
          <w:szCs w:val="32"/>
        </w:rPr>
        <w:t>年12月31日，本部门固定资产金额</w:t>
      </w:r>
      <w:r>
        <w:rPr>
          <w:rFonts w:hint="eastAsia" w:ascii="Times New Roman" w:hAnsi="仿宋_GB2312" w:eastAsia="仿宋_GB2312"/>
          <w:sz w:val="32"/>
          <w:szCs w:val="32"/>
          <w:lang w:val="en-US" w:eastAsia="zh-CN"/>
        </w:rPr>
        <w:t>787.92</w:t>
      </w:r>
      <w:r>
        <w:rPr>
          <w:rFonts w:hint="eastAsia" w:ascii="Times New Roman" w:hAnsi="仿宋_GB2312" w:eastAsia="仿宋_GB2312"/>
          <w:sz w:val="32"/>
          <w:szCs w:val="32"/>
        </w:rPr>
        <w:t>万元，分布构成情况为：房屋0平方米，车辆</w:t>
      </w:r>
      <w:r>
        <w:rPr>
          <w:rFonts w:hint="eastAsia" w:ascii="Times New Roman" w:hAnsi="仿宋_GB2312" w:eastAsia="仿宋_GB2312"/>
          <w:sz w:val="32"/>
          <w:szCs w:val="32"/>
          <w:lang w:val="en-US" w:eastAsia="zh-CN"/>
        </w:rPr>
        <w:t>2</w:t>
      </w:r>
      <w:r>
        <w:rPr>
          <w:rFonts w:hint="eastAsia" w:ascii="Times New Roman" w:hAnsi="仿宋_GB2312" w:eastAsia="仿宋_GB2312"/>
          <w:sz w:val="32"/>
          <w:szCs w:val="32"/>
        </w:rPr>
        <w:t>辆，单价在100万元以上的设备</w:t>
      </w:r>
      <w:r>
        <w:rPr>
          <w:rFonts w:hint="eastAsia" w:ascii="Times New Roman" w:hAnsi="仿宋_GB2312" w:eastAsia="仿宋_GB2312"/>
          <w:sz w:val="32"/>
          <w:szCs w:val="32"/>
          <w:lang w:val="en-US" w:eastAsia="zh-CN"/>
        </w:rPr>
        <w:t>2项</w:t>
      </w:r>
      <w:r>
        <w:rPr>
          <w:rFonts w:hint="eastAsia" w:ascii="Times New Roman" w:hAnsi="仿宋_GB2312" w:eastAsia="仿宋_GB2312"/>
          <w:sz w:val="32"/>
          <w:szCs w:val="32"/>
        </w:rPr>
        <w:t>等。</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六、项目预算绩效目标情况</w:t>
      </w:r>
    </w:p>
    <w:p>
      <w:pPr>
        <w:spacing w:line="600" w:lineRule="exact"/>
        <w:ind w:firstLine="640" w:firstLineChars="200"/>
        <w:rPr>
          <w:rFonts w:ascii="仿宋_GB2312" w:hAnsi="仿宋_GB2312" w:eastAsia="仿宋_GB2312" w:cs="仿宋_GB2312"/>
          <w:sz w:val="32"/>
          <w:szCs w:val="32"/>
        </w:rPr>
      </w:pPr>
      <w:bookmarkStart w:id="21" w:name="PO_part3A6Year1"/>
      <w:r>
        <w:rPr>
          <w:rFonts w:hint="eastAsia" w:ascii="Times New Roman" w:hAnsi="仿宋_GB2312" w:eastAsia="仿宋_GB2312"/>
          <w:sz w:val="32"/>
          <w:szCs w:val="32"/>
        </w:rPr>
        <w:t>202</w:t>
      </w:r>
      <w:bookmarkEnd w:id="21"/>
      <w:r>
        <w:rPr>
          <w:rFonts w:hint="eastAsia" w:ascii="Times New Roman" w:hAnsi="仿宋_GB2312" w:eastAsia="仿宋_GB2312"/>
          <w:sz w:val="32"/>
          <w:szCs w:val="32"/>
          <w:lang w:val="en-US" w:eastAsia="zh-CN"/>
        </w:rPr>
        <w:t>5</w:t>
      </w:r>
      <w:r>
        <w:rPr>
          <w:rFonts w:hint="eastAsia" w:ascii="Times New Roman" w:hAnsi="仿宋_GB2312" w:eastAsia="仿宋_GB2312"/>
          <w:sz w:val="32"/>
          <w:szCs w:val="32"/>
        </w:rPr>
        <w:t>年，本部门项目绩效（内容）情况如下：</w:t>
      </w:r>
    </w:p>
    <w:p>
      <w:pPr>
        <w:spacing w:line="600" w:lineRule="exact"/>
        <w:rPr>
          <w:rFonts w:ascii="仿宋_GB2312" w:hAnsi="仿宋_GB2312" w:eastAsia="仿宋_GB2312" w:cs="仿宋_GB2312"/>
          <w:sz w:val="32"/>
          <w:szCs w:val="32"/>
        </w:rPr>
      </w:pPr>
    </w:p>
    <w:tbl>
      <w:tblPr>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90"/>
        <w:gridCol w:w="1050"/>
        <w:gridCol w:w="1080"/>
        <w:gridCol w:w="5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8475"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hint="eastAsia" w:ascii="宋体" w:hAnsi="宋体" w:eastAsia="宋体" w:cs="宋体"/>
                <w:b/>
                <w:bCs/>
                <w:i w:val="0"/>
                <w:iCs w:val="0"/>
                <w:color w:val="000000"/>
                <w:kern w:val="0"/>
                <w:sz w:val="30"/>
                <w:szCs w:val="30"/>
                <w:u w:val="none"/>
                <w:bdr w:val="none" w:color="auto" w:sz="0" w:space="0"/>
                <w:lang w:val="en-US" w:eastAsia="zh-CN" w:bidi="ar"/>
              </w:rPr>
              <w:t>预算</w:t>
            </w:r>
            <w:r>
              <w:rPr>
                <w:rFonts w:hint="eastAsia" w:ascii="宋体" w:hAnsi="宋体" w:cs="宋体"/>
                <w:b/>
                <w:bCs/>
                <w:i w:val="0"/>
                <w:iCs w:val="0"/>
                <w:color w:val="000000"/>
                <w:kern w:val="0"/>
                <w:sz w:val="30"/>
                <w:szCs w:val="30"/>
                <w:u w:val="none"/>
                <w:bdr w:val="none" w:color="auto" w:sz="0" w:space="0"/>
                <w:lang w:val="en-US" w:eastAsia="zh-CN" w:bidi="ar"/>
              </w:rPr>
              <w:t>绩效内容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420"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5055" w:type="dxa"/>
            <w:tcBorders>
              <w:top w:val="nil"/>
              <w:left w:val="nil"/>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财政拨款</w:t>
            </w:r>
          </w:p>
        </w:tc>
        <w:tc>
          <w:tcPr>
            <w:tcW w:w="5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648.64</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货物购置类项目（办公设备购置）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6.52</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用于购置执法巡查设备10台流量费，及输入系统流量费用推进安全生产工作现代化，充分利用信息化推动安全监管执法能力建设。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运行维护经费（通用交通工具）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保障执法用车的日常维护和使用，落实装备执法检查装备保障需求。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派遣人员公用经费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控股外包人员2人公用经费，保障日常工作需求。控股外包人员2人公用经费，保障日常工作需求。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运行维护经费（其他专用设备）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指挥中心设备的日常维护和使用，确保第一时间显示突发应急信息及处置突发应急事件。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宣传经费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28.35</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通过开展安全生产月、安全生产万里行、森林防火、防灾减灾等一系列安全宣传活动，切实提高园区企业、群众安全意识，减少安全事故发生。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救援应急演练专项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用于安全应急预练练，提升园区生产安全事故应急救援有关部门的应急处置能力，提升三防</w:t>
            </w:r>
            <w:r>
              <w:rPr>
                <w:rFonts w:hint="eastAsia" w:ascii="宋体" w:hAnsi="宋体" w:cs="宋体"/>
                <w:i w:val="0"/>
                <w:iCs w:val="0"/>
                <w:color w:val="000000"/>
                <w:kern w:val="0"/>
                <w:sz w:val="20"/>
                <w:szCs w:val="20"/>
                <w:u w:val="none"/>
                <w:bdr w:val="none" w:color="auto" w:sz="0" w:space="0"/>
                <w:lang w:val="en-US" w:eastAsia="zh-CN" w:bidi="ar"/>
              </w:rPr>
              <w:t>应急</w:t>
            </w:r>
            <w:r>
              <w:rPr>
                <w:rFonts w:hint="eastAsia" w:ascii="宋体" w:hAnsi="宋体" w:eastAsia="宋体" w:cs="宋体"/>
                <w:i w:val="0"/>
                <w:iCs w:val="0"/>
                <w:color w:val="000000"/>
                <w:kern w:val="0"/>
                <w:sz w:val="20"/>
                <w:szCs w:val="20"/>
                <w:u w:val="none"/>
                <w:bdr w:val="none" w:color="auto" w:sz="0" w:space="0"/>
                <w:lang w:val="en-US" w:eastAsia="zh-CN" w:bidi="ar"/>
              </w:rPr>
              <w:t>救援</w:t>
            </w:r>
            <w:r>
              <w:rPr>
                <w:rFonts w:hint="eastAsia" w:ascii="宋体" w:hAnsi="宋体" w:cs="宋体"/>
                <w:i w:val="0"/>
                <w:iCs w:val="0"/>
                <w:color w:val="000000"/>
                <w:kern w:val="0"/>
                <w:sz w:val="20"/>
                <w:szCs w:val="20"/>
                <w:u w:val="none"/>
                <w:bdr w:val="none" w:color="auto" w:sz="0" w:space="0"/>
                <w:lang w:val="en-US" w:eastAsia="zh-CN" w:bidi="ar"/>
              </w:rPr>
              <w:t>等</w:t>
            </w:r>
            <w:r>
              <w:rPr>
                <w:rFonts w:hint="eastAsia" w:ascii="宋体" w:hAnsi="宋体" w:eastAsia="宋体" w:cs="宋体"/>
                <w:i w:val="0"/>
                <w:iCs w:val="0"/>
                <w:color w:val="000000"/>
                <w:kern w:val="0"/>
                <w:sz w:val="20"/>
                <w:szCs w:val="20"/>
                <w:u w:val="none"/>
                <w:bdr w:val="none" w:color="auto" w:sz="0" w:space="0"/>
                <w:lang w:val="en-US" w:eastAsia="zh-CN" w:bidi="ar"/>
              </w:rPr>
              <w:t>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三防气象服务站服务经费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62.50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通过服务外包招聘气象服务站工作人员，落实人员经费，确保三防气象服务站日常运营。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安全生产监管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委托第三方安全生产技术服务机构，为园区企业的安全生产监管工作提供专家支持服务，开展安全生产专题培训，为园区安全提供保障。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应急准备金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保障如有危化品事故、法律咨询等突发事件的费用保障。确保日常工作的开展。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三防监管专项经费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用于三防应急职能管理专项，对防雷，预警 、演练等实施工作，保障园区三防应急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租赁执法车辆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用于租赁执法用车，保障日常维护和使用，落实装备执法检查装备保障需求。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党务活动经费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0.64</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通过组织分局党员举行培训、讲座、学习等活动，增大党员的社会责任感和使命感，提高党员干部的为人民群众服务的意识。</w:t>
            </w:r>
            <w:bookmarkStart w:id="23" w:name="_GoBack"/>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安全生产员辅助检查业务经费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151.10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通过服务外包安全员，参与日常巡查，实现安全生产检查巡查全覆盖。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镇街巨灾保险试点费用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用于购买突发事项保险，比如地震、海啸、冰雪等大面积事故，保障灾害赔付。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应急避难场所设备经费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用于避难场所改造厕所升级，增设冲凉房饮水机等设备，提升园区避难场所环境条件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安全发展工程经费专项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26.55</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举通过办，党管安全教育，建立健全风险动态研判机制，企业安全服务发展工程实施方案等提升园区安全保障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建设安全生产工作责任管理平台专项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建设安责网，构建安全生产工作全流程覆责管理体系，确保园区安全生产工作高效有序，能够及时发现问题，快速响应处理，最大限度保障人民群众的生命财产安全。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应急处置服务专项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通过购买委托第三方公司做好应急装备仓管工作，协助应急管理分局科学、规范、高效开展事故灾难和自然灾害突发事件现场指挥与处置，为各类突发事件应急处理提供支援保障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重点单位安全生产隐患排查整治专项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93.98</w:t>
            </w:r>
          </w:p>
        </w:tc>
        <w:tc>
          <w:tcPr>
            <w:tcW w:w="5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进一步夯实安全生产工作基础，将遏制事故的关口前移到管控重点行业、重点领域容易导致群死群伤的重大风险。              </w:t>
            </w:r>
          </w:p>
        </w:tc>
      </w:tr>
    </w:tbl>
    <w:p>
      <w:pPr>
        <w:spacing w:line="600" w:lineRule="exact"/>
        <w:ind w:firstLine="640"/>
        <w:rPr>
          <w:rFonts w:ascii="仿宋_GB2312" w:hAnsi="仿宋_GB2312" w:eastAsia="仿宋_GB2312" w:cs="仿宋_GB2312"/>
          <w:sz w:val="32"/>
          <w:szCs w:val="32"/>
        </w:rPr>
        <w:sectPr>
          <w:pgSz w:w="11906" w:h="16838"/>
          <w:pgMar w:top="2154" w:right="1474" w:bottom="1984" w:left="1587" w:header="851" w:footer="992" w:gutter="0"/>
          <w:cols w:space="720" w:num="1"/>
          <w:docGrid w:type="lines" w:linePitch="312" w:charSpace="0"/>
        </w:sectPr>
      </w:pPr>
    </w:p>
    <w:p>
      <w:pPr>
        <w:spacing w:line="600" w:lineRule="exact"/>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600" w:lineRule="exact"/>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22" w:name="PO_part4"/>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600" w:lineRule="exact"/>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600" w:lineRule="exact"/>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600" w:lineRule="exact"/>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600" w:lineRule="exact"/>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bookmarkEnd w:id="22"/>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6DEB1"/>
    <w:multiLevelType w:val="singleLevel"/>
    <w:tmpl w:val="CC96DEB1"/>
    <w:lvl w:ilvl="0" w:tentative="0">
      <w:start w:val="1"/>
      <w:numFmt w:val="chineseCounting"/>
      <w:suff w:val="nothing"/>
      <w:lvlText w:val="%1、"/>
      <w:lvlJc w:val="left"/>
      <w:pPr>
        <w:ind w:left="0" w:firstLine="420"/>
      </w:pPr>
      <w:rPr>
        <w:rFonts w:hint="eastAsia"/>
      </w:rPr>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FF"/>
    <w:rsid w:val="00004238"/>
    <w:rsid w:val="000B1F57"/>
    <w:rsid w:val="000B6F8D"/>
    <w:rsid w:val="000F5B6F"/>
    <w:rsid w:val="00161E17"/>
    <w:rsid w:val="00166180"/>
    <w:rsid w:val="001B4F11"/>
    <w:rsid w:val="00217DF7"/>
    <w:rsid w:val="002304A7"/>
    <w:rsid w:val="002414C8"/>
    <w:rsid w:val="00242DDD"/>
    <w:rsid w:val="00325A4B"/>
    <w:rsid w:val="00362DF2"/>
    <w:rsid w:val="003B7BBF"/>
    <w:rsid w:val="00423014"/>
    <w:rsid w:val="004B7580"/>
    <w:rsid w:val="004D2594"/>
    <w:rsid w:val="004D25AD"/>
    <w:rsid w:val="005060F0"/>
    <w:rsid w:val="00510473"/>
    <w:rsid w:val="005546E0"/>
    <w:rsid w:val="0059127E"/>
    <w:rsid w:val="00623B05"/>
    <w:rsid w:val="00631BC7"/>
    <w:rsid w:val="00634493"/>
    <w:rsid w:val="00634CB8"/>
    <w:rsid w:val="00677455"/>
    <w:rsid w:val="006B4FD4"/>
    <w:rsid w:val="006E6C62"/>
    <w:rsid w:val="0072717A"/>
    <w:rsid w:val="00751766"/>
    <w:rsid w:val="00777096"/>
    <w:rsid w:val="007A125F"/>
    <w:rsid w:val="00853E3D"/>
    <w:rsid w:val="00872C1D"/>
    <w:rsid w:val="00942A14"/>
    <w:rsid w:val="00960187"/>
    <w:rsid w:val="00975227"/>
    <w:rsid w:val="00A1118A"/>
    <w:rsid w:val="00A20E22"/>
    <w:rsid w:val="00AC0F5D"/>
    <w:rsid w:val="00B02798"/>
    <w:rsid w:val="00B11695"/>
    <w:rsid w:val="00B22A2F"/>
    <w:rsid w:val="00B328A1"/>
    <w:rsid w:val="00BA217D"/>
    <w:rsid w:val="00BD20CB"/>
    <w:rsid w:val="00BF02BF"/>
    <w:rsid w:val="00C010B8"/>
    <w:rsid w:val="00C12944"/>
    <w:rsid w:val="00C41D04"/>
    <w:rsid w:val="00C635CA"/>
    <w:rsid w:val="00CA1A9D"/>
    <w:rsid w:val="00CF7A2F"/>
    <w:rsid w:val="00D03658"/>
    <w:rsid w:val="00D1624A"/>
    <w:rsid w:val="00D32FFF"/>
    <w:rsid w:val="00D33B63"/>
    <w:rsid w:val="00D35A70"/>
    <w:rsid w:val="00DF5098"/>
    <w:rsid w:val="00E331DC"/>
    <w:rsid w:val="00EC5A62"/>
    <w:rsid w:val="00EF74F4"/>
    <w:rsid w:val="00F24CFF"/>
    <w:rsid w:val="00FA7C94"/>
    <w:rsid w:val="01D60C91"/>
    <w:rsid w:val="06672456"/>
    <w:rsid w:val="074E2BA7"/>
    <w:rsid w:val="09D16078"/>
    <w:rsid w:val="09E06E65"/>
    <w:rsid w:val="0DB70C2C"/>
    <w:rsid w:val="0E441DD4"/>
    <w:rsid w:val="11F034D8"/>
    <w:rsid w:val="15C608E2"/>
    <w:rsid w:val="18A75E67"/>
    <w:rsid w:val="1B9E176F"/>
    <w:rsid w:val="1B9E1D5D"/>
    <w:rsid w:val="1BD36A8F"/>
    <w:rsid w:val="1C27758F"/>
    <w:rsid w:val="24DD7A2C"/>
    <w:rsid w:val="29CE3720"/>
    <w:rsid w:val="2B2522BA"/>
    <w:rsid w:val="32B34C42"/>
    <w:rsid w:val="337A1100"/>
    <w:rsid w:val="37D80BBD"/>
    <w:rsid w:val="3F5F10EC"/>
    <w:rsid w:val="3FE76F50"/>
    <w:rsid w:val="402E650D"/>
    <w:rsid w:val="41607E17"/>
    <w:rsid w:val="49DA512E"/>
    <w:rsid w:val="4B7C5203"/>
    <w:rsid w:val="4BFE4C41"/>
    <w:rsid w:val="50D55D20"/>
    <w:rsid w:val="513B58EC"/>
    <w:rsid w:val="584A393E"/>
    <w:rsid w:val="5C3D0D99"/>
    <w:rsid w:val="5CE45BFF"/>
    <w:rsid w:val="5CE541ED"/>
    <w:rsid w:val="5CF74B65"/>
    <w:rsid w:val="61B90AE7"/>
    <w:rsid w:val="74AD371D"/>
    <w:rsid w:val="74BB646E"/>
    <w:rsid w:val="75190534"/>
    <w:rsid w:val="77D843BE"/>
    <w:rsid w:val="7A3B0143"/>
    <w:rsid w:val="7DD1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uiPriority w:val="0"/>
    <w:rPr>
      <w:rFonts w:ascii="Calibri" w:hAnsi="Calibri" w:eastAsia="宋体" w:cs="Times New Roman"/>
      <w:sz w:val="18"/>
      <w:szCs w:val="18"/>
    </w:rPr>
  </w:style>
  <w:style w:type="character" w:customStyle="1" w:styleId="8">
    <w:name w:val="页眉 Char"/>
    <w:link w:val="3"/>
    <w:uiPriority w:val="0"/>
    <w:rPr>
      <w:rFonts w:ascii="Calibri" w:hAnsi="Calibri" w:eastAsia="宋体" w:cs="Times New Roman"/>
      <w:sz w:val="18"/>
      <w:szCs w:val="18"/>
    </w:rPr>
  </w:style>
  <w:style w:type="character" w:customStyle="1" w:styleId="9">
    <w:name w:val="不明显参考1"/>
    <w:qFormat/>
    <w:uiPriority w:val="31"/>
    <w:rPr>
      <w:smallCaps/>
      <w:color w:val="5A5A5A"/>
    </w:rPr>
  </w:style>
  <w:style w:type="character" w:customStyle="1" w:styleId="10">
    <w:name w:val="页眉 Char1"/>
    <w:basedOn w:val="6"/>
    <w:semiHidden/>
    <w:qFormat/>
    <w:uiPriority w:val="99"/>
    <w:rPr>
      <w:rFonts w:ascii="Calibri" w:hAnsi="Calibri" w:eastAsia="宋体" w:cs="Times New Roman"/>
      <w:sz w:val="18"/>
      <w:szCs w:val="18"/>
    </w:rPr>
  </w:style>
  <w:style w:type="character" w:customStyle="1" w:styleId="11">
    <w:name w:val="页脚 Char1"/>
    <w:basedOn w:val="6"/>
    <w:semiHidden/>
    <w:qFormat/>
    <w:uiPriority w:val="99"/>
    <w:rPr>
      <w:rFonts w:ascii="Calibri" w:hAnsi="Calibri"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B6D42-E42A-4C26-AEB9-EE8677D094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937</Words>
  <Characters>5343</Characters>
  <Lines>44</Lines>
  <Paragraphs>12</Paragraphs>
  <TotalTime>5</TotalTime>
  <ScaleCrop>false</ScaleCrop>
  <LinksUpToDate>false</LinksUpToDate>
  <CharactersWithSpaces>6268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2023-03-06T03:06:00Z</dcterms:created>
  <dc:creator>林颖媛</dc:creator>
  <cp:lastModifiedBy>刘小花</cp:lastModifiedBy>
  <dcterms:modified xsi:type="dcterms:W3CDTF">2025-04-01T03:16:04Z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