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kern w:val="44"/>
          <w:sz w:val="44"/>
          <w:lang w:eastAsia="zh-CN"/>
        </w:rPr>
      </w:pPr>
      <w:bookmarkStart w:id="0" w:name="_Toc9855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关于</w:t>
      </w:r>
      <w:r>
        <w:rPr>
          <w:rFonts w:ascii="Times New Roman" w:hAnsi="Times New Roman" w:eastAsia="方正小标宋简体" w:cs="Times New Roman"/>
          <w:bCs/>
          <w:sz w:val="44"/>
        </w:rPr>
        <w:t>《</w:t>
      </w:r>
      <w:r>
        <w:rPr>
          <w:rFonts w:ascii="Times New Roman" w:hAnsi="Times New Roman" w:eastAsia="方正小标宋简体" w:cs="Times New Roman"/>
          <w:kern w:val="44"/>
          <w:sz w:val="44"/>
        </w:rPr>
        <w:t>东莞松山湖</w:t>
      </w:r>
      <w:r>
        <w:rPr>
          <w:rFonts w:hint="default" w:ascii="Times New Roman" w:hAnsi="Times New Roman" w:eastAsia="方正小标宋简体" w:cs="Times New Roman"/>
          <w:kern w:val="44"/>
          <w:sz w:val="44"/>
          <w:lang w:eastAsia="zh-CN"/>
        </w:rPr>
        <w:t>科技赋能产业高质量发展</w:t>
      </w:r>
    </w:p>
    <w:p>
      <w:pPr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kern w:val="44"/>
          <w:sz w:val="44"/>
        </w:rPr>
      </w:pPr>
      <w:r>
        <w:rPr>
          <w:rFonts w:ascii="Times New Roman" w:hAnsi="Times New Roman" w:eastAsia="方正小标宋简体" w:cs="Times New Roman"/>
          <w:kern w:val="44"/>
          <w:sz w:val="44"/>
        </w:rPr>
        <w:t>实施办法</w:t>
      </w:r>
      <w:r>
        <w:rPr>
          <w:rFonts w:ascii="Times New Roman" w:hAnsi="Times New Roman" w:eastAsia="方正小标宋简体" w:cs="Times New Roman"/>
          <w:bCs/>
          <w:sz w:val="44"/>
        </w:rPr>
        <w:t>》</w:t>
      </w:r>
      <w:bookmarkEnd w:id="0"/>
      <w:bookmarkStart w:id="1" w:name="_Toc23421"/>
      <w:bookmarkStart w:id="2" w:name="_Toc2842"/>
      <w:r>
        <w:rPr>
          <w:rFonts w:hint="eastAsia" w:eastAsia="方正小标宋简体" w:cs="Times New Roman"/>
          <w:bCs/>
          <w:sz w:val="44"/>
          <w:lang w:eastAsia="zh-CN"/>
        </w:rPr>
        <w:t>的</w:t>
      </w:r>
      <w:r>
        <w:rPr>
          <w:rFonts w:ascii="Times New Roman" w:hAnsi="Times New Roman" w:eastAsia="方正小标宋简体" w:cs="Times New Roman"/>
          <w:kern w:val="44"/>
          <w:sz w:val="44"/>
        </w:rPr>
        <w:t>政策解读</w:t>
      </w:r>
      <w:bookmarkEnd w:id="1"/>
      <w:bookmarkEnd w:id="2"/>
    </w:p>
    <w:p>
      <w:pPr>
        <w:ind w:firstLine="640"/>
        <w:jc w:val="both"/>
        <w:rPr>
          <w:rFonts w:ascii="Times New Roman" w:hAnsi="Times New Roman" w:cs="Times New Roman"/>
          <w:szCs w:val="32"/>
        </w:rPr>
      </w:pPr>
    </w:p>
    <w:p>
      <w:pPr>
        <w:spacing w:line="600" w:lineRule="exact"/>
        <w:ind w:firstLine="640"/>
        <w:jc w:val="both"/>
        <w:outlineLvl w:val="0"/>
        <w:rPr>
          <w:rFonts w:ascii="Times New Roman" w:hAnsi="Times New Roman" w:eastAsia="黑体" w:cs="Times New Roman"/>
          <w:szCs w:val="32"/>
        </w:rPr>
      </w:pPr>
      <w:bookmarkStart w:id="3" w:name="_Toc7218"/>
      <w:bookmarkStart w:id="4" w:name="_Toc25281"/>
      <w:bookmarkStart w:id="9" w:name="_GoBack"/>
      <w:bookmarkEnd w:id="9"/>
      <w:r>
        <w:rPr>
          <w:rFonts w:ascii="Times New Roman" w:hAnsi="Times New Roman" w:eastAsia="黑体" w:cs="Times New Roman"/>
          <w:szCs w:val="32"/>
        </w:rPr>
        <w:t>一、制定背景</w:t>
      </w:r>
      <w:bookmarkEnd w:id="3"/>
      <w:bookmarkEnd w:id="4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outlineLvl w:val="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t>为深入贯彻落实省委“1310”工作部署和省市高质量发展大会精神，</w:t>
      </w:r>
      <w:r>
        <w:rPr>
          <w:rFonts w:hint="eastAsia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t>全过程赋能产业高</w:t>
      </w:r>
      <w:r>
        <w:rPr>
          <w:rFonts w:hint="eastAsia" w:cs="Times New Roman"/>
          <w:b w:val="0"/>
          <w:i w:val="0"/>
          <w:spacing w:val="0"/>
          <w:kern w:val="2"/>
          <w:sz w:val="32"/>
          <w:szCs w:val="32"/>
          <w:highlight w:val="none"/>
          <w:lang w:val="en-US" w:eastAsia="zh-CN" w:bidi="ar"/>
        </w:rPr>
        <w:t>质量发展，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t>促进科技产业互促双强，支持大湾区综合性国家科学中心先行启动区（松山湖科学城）建设，</w:t>
      </w:r>
      <w:r>
        <w:rPr>
          <w:rFonts w:hint="eastAsia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t>松山湖管委会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t>修订</w:t>
      </w:r>
      <w:r>
        <w:rPr>
          <w:rFonts w:hint="default" w:ascii="Times New Roman" w:hAnsi="Times New Roman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t>原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t>科技政策</w:t>
      </w:r>
      <w:r>
        <w:rPr>
          <w:rStyle w:val="8"/>
          <w:rFonts w:hint="default" w:ascii="Times New Roman" w:hAnsi="Times New Roman" w:eastAsia="仿宋_GB2312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footnoteReference w:id="0"/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t>，整合形成了《东莞松山湖科技赋能产业高质量发展实施办法》（以下简称《实施办法》）。</w:t>
      </w:r>
    </w:p>
    <w:p>
      <w:pPr>
        <w:spacing w:line="600" w:lineRule="exact"/>
        <w:ind w:firstLine="640"/>
        <w:jc w:val="both"/>
        <w:outlineLvl w:val="0"/>
        <w:rPr>
          <w:rFonts w:ascii="Times New Roman" w:hAnsi="Times New Roman" w:eastAsia="黑体" w:cs="Times New Roman"/>
          <w:szCs w:val="32"/>
        </w:rPr>
      </w:pPr>
      <w:bookmarkStart w:id="5" w:name="_Toc29220"/>
      <w:bookmarkStart w:id="6" w:name="_Toc14321"/>
      <w:r>
        <w:rPr>
          <w:rFonts w:ascii="Times New Roman" w:hAnsi="Times New Roman" w:eastAsia="黑体" w:cs="Times New Roman"/>
          <w:szCs w:val="32"/>
        </w:rPr>
        <w:t>二、主要内容</w:t>
      </w:r>
      <w:bookmarkEnd w:id="5"/>
      <w:bookmarkEnd w:id="6"/>
    </w:p>
    <w:p>
      <w:pPr>
        <w:spacing w:line="600" w:lineRule="exact"/>
        <w:ind w:firstLine="64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《实施办法》共分六章</w:t>
      </w:r>
      <w:r>
        <w:rPr>
          <w:rFonts w:hint="default" w:ascii="Times New Roman" w:hAnsi="Times New Roman" w:cs="Times New Roman"/>
          <w:szCs w:val="32"/>
          <w:lang w:eastAsia="zh-CN"/>
        </w:rPr>
        <w:t>三十</w:t>
      </w:r>
      <w:r>
        <w:rPr>
          <w:rFonts w:hint="eastAsia" w:cs="Times New Roman"/>
          <w:szCs w:val="32"/>
          <w:lang w:eastAsia="zh-CN"/>
        </w:rPr>
        <w:t>六</w:t>
      </w:r>
      <w:r>
        <w:rPr>
          <w:rFonts w:ascii="Times New Roman" w:hAnsi="Times New Roman" w:cs="Times New Roman"/>
          <w:szCs w:val="32"/>
        </w:rPr>
        <w:t>条，“第一章总则”主要明确了办法的制定目标、资金预算来源，以及办法的业务主管部门和政策覆盖范围；“第二章支持对象”主要明确了申报对象需满足的基本条件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ascii="Times New Roman" w:hAnsi="Times New Roman" w:cs="Times New Roman"/>
          <w:szCs w:val="32"/>
        </w:rPr>
        <w:t>不予资助的主要情形</w:t>
      </w:r>
      <w:r>
        <w:rPr>
          <w:rFonts w:hint="default" w:ascii="Times New Roman" w:hAnsi="Times New Roman" w:cs="Times New Roman"/>
          <w:szCs w:val="32"/>
          <w:lang w:eastAsia="zh-CN"/>
        </w:rPr>
        <w:t>以及相关定义</w:t>
      </w:r>
      <w:r>
        <w:rPr>
          <w:rFonts w:ascii="Times New Roman" w:hAnsi="Times New Roman" w:cs="Times New Roman"/>
          <w:szCs w:val="32"/>
        </w:rPr>
        <w:t>；“第三章支持措施”对</w:t>
      </w:r>
      <w:r>
        <w:rPr>
          <w:rFonts w:hint="eastAsia" w:cs="Times New Roman"/>
          <w:szCs w:val="32"/>
          <w:lang w:eastAsia="zh-CN"/>
        </w:rPr>
        <w:t>支持</w:t>
      </w:r>
      <w:r>
        <w:rPr>
          <w:rFonts w:ascii="Times New Roman" w:hAnsi="Times New Roman" w:cs="Times New Roman"/>
          <w:szCs w:val="32"/>
        </w:rPr>
        <w:t>对象、</w:t>
      </w:r>
      <w:r>
        <w:rPr>
          <w:rFonts w:hint="eastAsia" w:cs="Times New Roman"/>
          <w:szCs w:val="32"/>
          <w:lang w:eastAsia="zh-CN"/>
        </w:rPr>
        <w:t>支持</w:t>
      </w:r>
      <w:r>
        <w:rPr>
          <w:rFonts w:ascii="Times New Roman" w:hAnsi="Times New Roman" w:cs="Times New Roman"/>
          <w:szCs w:val="32"/>
        </w:rPr>
        <w:t>措施、资助标准等内容进行了明确；“第四章申报程序”明确了申报过程管理的具体流程；“第五章监督管理”明确了</w:t>
      </w:r>
      <w:r>
        <w:rPr>
          <w:rFonts w:hint="eastAsia" w:cs="Times New Roman"/>
          <w:szCs w:val="32"/>
          <w:lang w:eastAsia="zh-CN"/>
        </w:rPr>
        <w:t>资助</w:t>
      </w:r>
      <w:r>
        <w:rPr>
          <w:rFonts w:ascii="Times New Roman" w:hAnsi="Times New Roman" w:cs="Times New Roman"/>
          <w:szCs w:val="32"/>
        </w:rPr>
        <w:t>资金管理</w:t>
      </w:r>
      <w:r>
        <w:rPr>
          <w:rFonts w:hint="eastAsia" w:cs="Times New Roman"/>
          <w:szCs w:val="32"/>
          <w:lang w:eastAsia="zh-CN"/>
        </w:rPr>
        <w:t>要求</w:t>
      </w:r>
      <w:r>
        <w:rPr>
          <w:rFonts w:ascii="Times New Roman" w:hAnsi="Times New Roman" w:cs="Times New Roman"/>
          <w:szCs w:val="32"/>
        </w:rPr>
        <w:t>及相关处罚措施，“第六章附则”明确了</w:t>
      </w:r>
      <w:r>
        <w:rPr>
          <w:rFonts w:hint="eastAsia" w:cs="Times New Roman"/>
          <w:szCs w:val="32"/>
          <w:lang w:eastAsia="zh-CN"/>
        </w:rPr>
        <w:t>解释部门</w:t>
      </w:r>
      <w:r>
        <w:rPr>
          <w:rFonts w:ascii="Times New Roman" w:hAnsi="Times New Roman" w:cs="Times New Roman"/>
          <w:szCs w:val="32"/>
        </w:rPr>
        <w:t>、有效期等。具体支持措施的内容如下：</w:t>
      </w:r>
    </w:p>
    <w:p>
      <w:pPr>
        <w:numPr>
          <w:ilvl w:val="0"/>
          <w:numId w:val="1"/>
        </w:numPr>
        <w:snapToGrid w:val="0"/>
        <w:spacing w:line="600" w:lineRule="exact"/>
        <w:ind w:firstLine="640"/>
        <w:jc w:val="both"/>
        <w:outlineLvl w:val="1"/>
        <w:rPr>
          <w:rFonts w:hint="default" w:ascii="Times New Roman" w:hAnsi="Times New Roman" w:eastAsia="楷体_GB2312" w:cs="Times New Roman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支持社会资本赋能成果落地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20" w:firstLineChars="200"/>
        <w:jc w:val="both"/>
        <w:textAlignment w:val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"/>
        </w:rPr>
        <w:t>支持科技成果在</w:t>
      </w:r>
      <w:r>
        <w:rPr>
          <w:rFonts w:hint="eastAsia" w:cs="Times New Roman"/>
          <w:lang w:eastAsia="zh-CN"/>
        </w:rPr>
        <w:t>松山湖落地转化</w:t>
      </w:r>
      <w:r>
        <w:rPr>
          <w:rFonts w:hint="default" w:ascii="Times New Roman" w:hAnsi="Times New Roman" w:cs="Times New Roman"/>
          <w:lang w:eastAsia="zh"/>
        </w:rPr>
        <w:t>，对</w:t>
      </w:r>
      <w:r>
        <w:rPr>
          <w:rFonts w:hint="eastAsia" w:cs="Times New Roman"/>
          <w:lang w:eastAsia="zh-CN"/>
        </w:rPr>
        <w:t>注册</w:t>
      </w:r>
      <w:r>
        <w:rPr>
          <w:rFonts w:hint="default" w:ascii="Times New Roman" w:hAnsi="Times New Roman" w:cs="Times New Roman"/>
          <w:lang w:eastAsia="zh"/>
        </w:rPr>
        <w:t>时间不超过5年，成功引入社会资本投资入股，且已到位资金不少于50万元的科技企业，按照到位资金的</w:t>
      </w:r>
      <w:r>
        <w:rPr>
          <w:rFonts w:hint="eastAsia" w:cs="Times New Roman"/>
          <w:lang w:val="en-US" w:eastAsia="zh-CN"/>
        </w:rPr>
        <w:t>10%累计</w:t>
      </w:r>
      <w:r>
        <w:rPr>
          <w:rFonts w:hint="default" w:ascii="Times New Roman" w:hAnsi="Times New Roman" w:cs="Times New Roman"/>
          <w:lang w:eastAsia="zh"/>
        </w:rPr>
        <w:t>最高100万元奖励。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鼓励科技成果向企业转化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20" w:firstLineChars="200"/>
        <w:jc w:val="both"/>
        <w:textAlignment w:val="auto"/>
        <w:rPr>
          <w:rFonts w:hint="default" w:ascii="Times New Roman" w:hAnsi="Times New Roman" w:cs="Times New Roman"/>
          <w:lang w:eastAsia="zh"/>
        </w:rPr>
      </w:pPr>
      <w:r>
        <w:rPr>
          <w:rFonts w:hint="default" w:ascii="Times New Roman" w:hAnsi="Times New Roman" w:cs="Times New Roman"/>
          <w:lang w:eastAsia="zh"/>
        </w:rPr>
        <w:t>鼓励</w:t>
      </w:r>
      <w:r>
        <w:rPr>
          <w:rFonts w:hint="eastAsia" w:cs="Times New Roman"/>
          <w:lang w:eastAsia="zh-CN"/>
        </w:rPr>
        <w:t>高校及科研机构</w:t>
      </w:r>
      <w:r>
        <w:rPr>
          <w:rFonts w:hint="default" w:ascii="Times New Roman" w:hAnsi="Times New Roman" w:cs="Times New Roman"/>
          <w:lang w:eastAsia="zh"/>
        </w:rPr>
        <w:t>向非关联企业转化科技成果，以及鼓励</w:t>
      </w:r>
      <w:r>
        <w:rPr>
          <w:rFonts w:hint="eastAsia" w:cs="Times New Roman"/>
          <w:lang w:eastAsia="zh-CN"/>
        </w:rPr>
        <w:t>规上</w:t>
      </w:r>
      <w:r>
        <w:rPr>
          <w:rFonts w:hint="default" w:ascii="Times New Roman" w:hAnsi="Times New Roman" w:cs="Times New Roman"/>
          <w:lang w:eastAsia="zh"/>
        </w:rPr>
        <w:t>科技企业委托非关联高校、中科院</w:t>
      </w:r>
      <w:r>
        <w:rPr>
          <w:rFonts w:hint="eastAsia" w:cs="Times New Roman"/>
          <w:lang w:eastAsia="zh-CN"/>
        </w:rPr>
        <w:t>及</w:t>
      </w:r>
      <w:r>
        <w:rPr>
          <w:rFonts w:hint="default" w:ascii="Times New Roman" w:hAnsi="Times New Roman" w:cs="Times New Roman"/>
          <w:lang w:eastAsia="zh"/>
        </w:rPr>
        <w:t>下属研究所、国家</w:t>
      </w:r>
      <w:r>
        <w:rPr>
          <w:rFonts w:hint="eastAsia" w:cs="Times New Roman"/>
          <w:lang w:eastAsia="zh-CN"/>
        </w:rPr>
        <w:t>或</w:t>
      </w:r>
      <w:r>
        <w:rPr>
          <w:rFonts w:hint="default" w:ascii="Times New Roman" w:hAnsi="Times New Roman" w:cs="Times New Roman"/>
          <w:lang w:eastAsia="zh"/>
        </w:rPr>
        <w:t>省实验室</w:t>
      </w:r>
      <w:r>
        <w:rPr>
          <w:rFonts w:hint="eastAsia" w:cs="Times New Roman"/>
          <w:lang w:eastAsia="zh-CN"/>
        </w:rPr>
        <w:t>、松山湖</w:t>
      </w:r>
      <w:r>
        <w:rPr>
          <w:rFonts w:hint="default" w:ascii="Times New Roman" w:hAnsi="Times New Roman" w:cs="Times New Roman"/>
          <w:lang w:eastAsia="zh"/>
        </w:rPr>
        <w:t>内省级新型研发机构开展技术攻关，签订技术开发或技术转让合同，对经认定的合同，按照实际技术交易</w:t>
      </w:r>
      <w:r>
        <w:rPr>
          <w:rFonts w:hint="eastAsia" w:cs="Times New Roman"/>
          <w:lang w:eastAsia="zh-CN"/>
        </w:rPr>
        <w:t>额的</w:t>
      </w:r>
      <w:r>
        <w:rPr>
          <w:rFonts w:hint="eastAsia" w:cs="Times New Roman"/>
          <w:lang w:val="en-US" w:eastAsia="zh-CN"/>
        </w:rPr>
        <w:t>10%</w:t>
      </w:r>
      <w:r>
        <w:rPr>
          <w:rFonts w:hint="default" w:ascii="Times New Roman" w:hAnsi="Times New Roman" w:cs="Times New Roman"/>
          <w:lang w:eastAsia="zh"/>
        </w:rPr>
        <w:t>给予最高20万元奖励。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20" w:firstLineChars="200"/>
        <w:jc w:val="both"/>
        <w:textAlignment w:val="auto"/>
        <w:rPr>
          <w:rFonts w:hint="default" w:ascii="Times New Roman" w:hAnsi="Times New Roman" w:cs="Times New Roman"/>
          <w:lang w:eastAsia="zh"/>
        </w:rPr>
      </w:pPr>
      <w:r>
        <w:rPr>
          <w:rFonts w:hint="default" w:ascii="Times New Roman" w:hAnsi="Times New Roman" w:cs="Times New Roman"/>
          <w:lang w:eastAsia="zh"/>
        </w:rPr>
        <w:t>鼓励技术经理人促成</w:t>
      </w:r>
      <w:r>
        <w:rPr>
          <w:rFonts w:hint="eastAsia" w:cs="Times New Roman"/>
          <w:lang w:eastAsia="zh-CN"/>
        </w:rPr>
        <w:t>松山湖</w:t>
      </w:r>
      <w:r>
        <w:rPr>
          <w:rFonts w:hint="default" w:ascii="Times New Roman" w:hAnsi="Times New Roman" w:cs="Times New Roman"/>
          <w:lang w:eastAsia="zh"/>
        </w:rPr>
        <w:t>企事业单位与</w:t>
      </w:r>
      <w:r>
        <w:rPr>
          <w:rFonts w:hint="eastAsia" w:cs="Times New Roman"/>
          <w:lang w:eastAsia="zh-CN"/>
        </w:rPr>
        <w:t>国内</w:t>
      </w:r>
      <w:r>
        <w:rPr>
          <w:rFonts w:hint="default" w:ascii="Times New Roman" w:hAnsi="Times New Roman" w:cs="Times New Roman"/>
          <w:lang w:eastAsia="zh"/>
        </w:rPr>
        <w:t>外</w:t>
      </w:r>
      <w:r>
        <w:rPr>
          <w:rFonts w:hint="default" w:ascii="Times New Roman" w:hAnsi="Times New Roman" w:cs="Times New Roman"/>
          <w:lang w:eastAsia="zh-CN"/>
        </w:rPr>
        <w:t>企事业</w:t>
      </w:r>
      <w:r>
        <w:rPr>
          <w:rFonts w:hint="default" w:ascii="Times New Roman" w:hAnsi="Times New Roman" w:cs="Times New Roman"/>
          <w:lang w:eastAsia="zh"/>
        </w:rPr>
        <w:t>单位签订技术开发、技术转让、技术服务</w:t>
      </w:r>
      <w:r>
        <w:rPr>
          <w:rFonts w:hint="eastAsia" w:cs="Times New Roman"/>
          <w:lang w:eastAsia="zh-CN"/>
        </w:rPr>
        <w:t>合同</w:t>
      </w:r>
      <w:r>
        <w:rPr>
          <w:rFonts w:hint="default" w:ascii="Times New Roman" w:hAnsi="Times New Roman" w:cs="Times New Roman"/>
          <w:lang w:eastAsia="zh"/>
        </w:rPr>
        <w:t>，按技术合同实际发生技术交易额</w:t>
      </w:r>
      <w:r>
        <w:rPr>
          <w:rFonts w:hint="eastAsia" w:cs="Times New Roman"/>
          <w:lang w:eastAsia="zh-CN"/>
        </w:rPr>
        <w:t>的</w:t>
      </w:r>
      <w:r>
        <w:rPr>
          <w:rFonts w:hint="eastAsia" w:cs="Times New Roman"/>
          <w:lang w:val="en-US" w:eastAsia="zh-CN"/>
        </w:rPr>
        <w:t>3%</w:t>
      </w:r>
      <w:r>
        <w:rPr>
          <w:rFonts w:hint="default" w:ascii="Times New Roman" w:hAnsi="Times New Roman" w:cs="Times New Roman"/>
          <w:lang w:eastAsia="zh"/>
        </w:rPr>
        <w:t>给予最高3万元奖励。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（三）鼓励企业科技成果应用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20" w:firstLineChars="200"/>
        <w:jc w:val="both"/>
        <w:textAlignment w:val="auto"/>
        <w:rPr>
          <w:rFonts w:hint="default" w:ascii="Times New Roman" w:hAnsi="Times New Roman" w:cs="Times New Roman"/>
          <w:lang w:eastAsia="zh"/>
        </w:rPr>
      </w:pPr>
      <w:r>
        <w:rPr>
          <w:rFonts w:hint="default" w:ascii="Times New Roman" w:hAnsi="Times New Roman" w:cs="Times New Roman"/>
          <w:lang w:eastAsia="zh"/>
        </w:rPr>
        <w:t>鼓励</w:t>
      </w:r>
      <w:r>
        <w:rPr>
          <w:rFonts w:hint="eastAsia" w:cs="Times New Roman"/>
          <w:lang w:eastAsia="zh-CN"/>
        </w:rPr>
        <w:t>注册</w:t>
      </w:r>
      <w:r>
        <w:rPr>
          <w:rFonts w:hint="default" w:ascii="Times New Roman" w:hAnsi="Times New Roman" w:cs="Times New Roman"/>
          <w:lang w:eastAsia="zh"/>
        </w:rPr>
        <w:t>时间不超过5年的科技企业，向</w:t>
      </w:r>
      <w:r>
        <w:rPr>
          <w:rFonts w:hint="eastAsia" w:cs="Times New Roman"/>
          <w:lang w:eastAsia="zh-CN"/>
        </w:rPr>
        <w:t>国内外</w:t>
      </w:r>
      <w:r>
        <w:rPr>
          <w:rFonts w:hint="default" w:ascii="Times New Roman" w:hAnsi="Times New Roman" w:cs="Times New Roman"/>
          <w:lang w:eastAsia="zh"/>
        </w:rPr>
        <w:t>上市企业或上年度营业收入超</w:t>
      </w:r>
      <w:r>
        <w:rPr>
          <w:rFonts w:hint="eastAsia" w:cs="Times New Roman"/>
          <w:lang w:eastAsia="zh-CN"/>
        </w:rPr>
        <w:t>过</w:t>
      </w:r>
      <w:r>
        <w:rPr>
          <w:rFonts w:hint="default" w:ascii="Times New Roman" w:hAnsi="Times New Roman" w:cs="Times New Roman"/>
          <w:lang w:eastAsia="zh"/>
        </w:rPr>
        <w:t>100亿元企业（含上述两类企业全资子公司），推广自主知识产权的科技成果，按技术合同或采购订单实际交易额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的</w:t>
      </w:r>
      <w:r>
        <w:rPr>
          <w:rFonts w:hint="eastAsia" w:cs="Times New Roman"/>
          <w:kern w:val="2"/>
          <w:sz w:val="32"/>
          <w:szCs w:val="32"/>
          <w:lang w:val="en-US" w:eastAsia="zh-CN" w:bidi="ar"/>
        </w:rPr>
        <w:t>20%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" w:bidi="ar"/>
        </w:rPr>
        <w:t>给予</w:t>
      </w:r>
      <w:r>
        <w:rPr>
          <w:rFonts w:hint="default" w:ascii="Times New Roman" w:hAnsi="Times New Roman" w:cs="Times New Roman"/>
          <w:lang w:eastAsia="zh"/>
        </w:rPr>
        <w:t>最高20万元奖励。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（四）支持高新技术企业认定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cs="Times New Roman"/>
          <w:kern w:val="2"/>
          <w:sz w:val="32"/>
          <w:szCs w:val="32"/>
          <w:lang w:val="en-US" w:eastAsia="zh-CN" w:bidi="ar"/>
        </w:rPr>
        <w:t>鼓励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</w:rPr>
        <w:t>企业申报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" w:bidi="ar"/>
        </w:rPr>
        <w:t>认定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</w:rPr>
        <w:t>高企，对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" w:bidi="ar"/>
        </w:rPr>
        <w:t>当年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" w:bidi="ar"/>
        </w:rPr>
        <w:t>首次认定、重新认定的高企，分别给予6万元、3万元资金奖励。</w:t>
      </w:r>
    </w:p>
    <w:p>
      <w:pPr>
        <w:snapToGrid w:val="0"/>
        <w:spacing w:line="600" w:lineRule="exact"/>
        <w:ind w:firstLine="640"/>
        <w:jc w:val="both"/>
        <w:outlineLvl w:val="1"/>
        <w:rPr>
          <w:rFonts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（五）鼓励</w:t>
      </w:r>
      <w:r>
        <w:rPr>
          <w:rFonts w:ascii="Times New Roman" w:hAnsi="Times New Roman" w:eastAsia="楷体_GB2312" w:cs="Times New Roman"/>
          <w:szCs w:val="32"/>
        </w:rPr>
        <w:t>企业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加大</w:t>
      </w:r>
      <w:r>
        <w:rPr>
          <w:rFonts w:ascii="Times New Roman" w:hAnsi="Times New Roman" w:eastAsia="楷体_GB2312" w:cs="Times New Roman"/>
          <w:szCs w:val="32"/>
        </w:rPr>
        <w:t>研发投入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支持</w:t>
      </w:r>
      <w:r>
        <w:rPr>
          <w:rFonts w:hint="default" w:ascii="Times New Roman" w:hAnsi="Times New Roman" w:cs="Times New Roman"/>
          <w:szCs w:val="32"/>
          <w:lang w:eastAsia="zh"/>
        </w:rPr>
        <w:t>高企</w:t>
      </w:r>
      <w:r>
        <w:rPr>
          <w:rFonts w:ascii="Times New Roman" w:hAnsi="Times New Roman" w:cs="Times New Roman"/>
          <w:szCs w:val="32"/>
        </w:rPr>
        <w:t>、</w:t>
      </w:r>
      <w:r>
        <w:rPr>
          <w:rFonts w:hint="default" w:ascii="Times New Roman" w:hAnsi="Times New Roman" w:cs="Times New Roman"/>
          <w:szCs w:val="32"/>
          <w:lang w:eastAsia="zh"/>
        </w:rPr>
        <w:t>科技型中小企业、</w:t>
      </w:r>
      <w:r>
        <w:rPr>
          <w:rFonts w:ascii="Times New Roman" w:hAnsi="Times New Roman" w:cs="Times New Roman"/>
          <w:szCs w:val="32"/>
        </w:rPr>
        <w:t>规模以上企业加大研发投入，对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内部研发费用100万元以上（含）的企业，给予每家企业每年最高50万元研发投入补助</w:t>
      </w:r>
      <w:r>
        <w:rPr>
          <w:rFonts w:ascii="Times New Roman" w:hAnsi="Times New Roman" w:cs="Times New Roman"/>
          <w:szCs w:val="32"/>
        </w:rPr>
        <w:t>。</w:t>
      </w:r>
    </w:p>
    <w:p>
      <w:pPr>
        <w:snapToGrid w:val="0"/>
        <w:spacing w:line="600" w:lineRule="exact"/>
        <w:ind w:firstLine="640"/>
        <w:jc w:val="both"/>
        <w:outlineLvl w:val="1"/>
        <w:rPr>
          <w:rFonts w:hint="default" w:ascii="Times New Roman" w:hAnsi="Times New Roman" w:eastAsia="楷体_GB2312" w:cs="Times New Roman"/>
          <w:szCs w:val="32"/>
          <w:lang w:eastAsia="zh-CN"/>
        </w:rPr>
      </w:pPr>
      <w:r>
        <w:rPr>
          <w:rFonts w:ascii="Times New Roman" w:hAnsi="Times New Roman" w:eastAsia="楷体_GB2312" w:cs="Times New Roman"/>
          <w:szCs w:val="32"/>
        </w:rPr>
        <w:t>（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六</w:t>
      </w:r>
      <w:r>
        <w:rPr>
          <w:rFonts w:ascii="Times New Roman" w:hAnsi="Times New Roman" w:eastAsia="楷体_GB2312" w:cs="Times New Roman"/>
          <w:szCs w:val="32"/>
        </w:rPr>
        <w:t>）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支持产业技术攻关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Cs w:val="32"/>
        </w:rPr>
        <w:t>支持松山湖单位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承担“国家科技创新2030——重大科技项目”、国家重点研发计划项目和广东省重点领域研发计划项目，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以及国家、军队、省国防重大专项和核心技术攻关项目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对</w:t>
      </w:r>
      <w:r>
        <w:rPr>
          <w:rFonts w:hint="eastAsia" w:cs="Times New Roman"/>
          <w:kern w:val="2"/>
          <w:sz w:val="32"/>
          <w:szCs w:val="32"/>
          <w:lang w:val="en-US" w:eastAsia="zh-CN" w:bidi="ar"/>
        </w:rPr>
        <w:t>单个项目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到账立项资助金额不少于100万元的单位，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按到账立项资助金额的一定比例，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分类给予最高300万元奖励。</w:t>
      </w:r>
    </w:p>
    <w:p>
      <w:pPr>
        <w:snapToGrid w:val="0"/>
        <w:spacing w:line="600" w:lineRule="exact"/>
        <w:ind w:firstLine="640"/>
        <w:jc w:val="both"/>
        <w:outlineLvl w:val="1"/>
        <w:rPr>
          <w:rFonts w:hint="default" w:ascii="Times New Roman" w:hAnsi="Times New Roman" w:eastAsia="楷体_GB2312" w:cs="Times New Roman"/>
          <w:szCs w:val="32"/>
          <w:lang w:eastAsia="zh-CN"/>
        </w:rPr>
      </w:pPr>
      <w:r>
        <w:rPr>
          <w:rFonts w:ascii="Times New Roman" w:hAnsi="Times New Roman" w:eastAsia="楷体_GB2312" w:cs="Times New Roman"/>
          <w:szCs w:val="32"/>
        </w:rPr>
        <w:t>（</w:t>
      </w:r>
      <w:r>
        <w:rPr>
          <w:rFonts w:hint="default" w:ascii="Times New Roman" w:hAnsi="Times New Roman" w:eastAsia="楷体_GB2312" w:cs="Times New Roman"/>
          <w:szCs w:val="32"/>
          <w:lang w:eastAsia="zh"/>
        </w:rPr>
        <w:t>七</w:t>
      </w:r>
      <w:r>
        <w:rPr>
          <w:rFonts w:ascii="Times New Roman" w:hAnsi="Times New Roman" w:eastAsia="楷体_GB2312" w:cs="Times New Roman"/>
          <w:szCs w:val="32"/>
        </w:rPr>
        <w:t>）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支持研发机构建设</w:t>
      </w:r>
    </w:p>
    <w:p>
      <w:pPr>
        <w:spacing w:line="600" w:lineRule="exact"/>
        <w:ind w:firstLine="64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支持规上企业</w:t>
      </w:r>
      <w:r>
        <w:rPr>
          <w:rFonts w:hint="default" w:ascii="Times New Roman" w:hAnsi="Times New Roman" w:cs="Times New Roman"/>
          <w:szCs w:val="32"/>
          <w:lang w:eastAsia="zh-CN"/>
        </w:rPr>
        <w:t>建设</w:t>
      </w:r>
      <w:r>
        <w:rPr>
          <w:rFonts w:ascii="Times New Roman" w:hAnsi="Times New Roman" w:cs="Times New Roman"/>
          <w:szCs w:val="32"/>
        </w:rPr>
        <w:t>境外研发机构，对经商务部门备案的境外研发机构</w:t>
      </w:r>
      <w:r>
        <w:rPr>
          <w:rStyle w:val="7"/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szCs w:val="32"/>
        </w:rPr>
        <w:t>按每</w:t>
      </w:r>
      <w:r>
        <w:rPr>
          <w:rFonts w:hint="default" w:ascii="Times New Roman" w:hAnsi="Times New Roman" w:cs="Times New Roman"/>
          <w:szCs w:val="32"/>
          <w:lang w:eastAsia="zh-CN"/>
        </w:rPr>
        <w:t>个机构</w:t>
      </w:r>
      <w:r>
        <w:rPr>
          <w:rFonts w:ascii="Times New Roman" w:hAnsi="Times New Roman" w:cs="Times New Roman"/>
          <w:szCs w:val="32"/>
        </w:rPr>
        <w:t>5万元标准奖励所属企业，每家企业</w:t>
      </w:r>
      <w:r>
        <w:rPr>
          <w:rFonts w:hint="default" w:ascii="Times New Roman" w:hAnsi="Times New Roman" w:cs="Times New Roman"/>
          <w:szCs w:val="32"/>
          <w:lang w:eastAsia="zh-CN"/>
        </w:rPr>
        <w:t>累计</w:t>
      </w:r>
      <w:r>
        <w:rPr>
          <w:rFonts w:ascii="Times New Roman" w:hAnsi="Times New Roman" w:cs="Times New Roman"/>
          <w:szCs w:val="32"/>
        </w:rPr>
        <w:t>最高奖励20万元。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支持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松山湖单位申报认定省级以上研发机构</w:t>
      </w:r>
      <w:r>
        <w:rPr>
          <w:rFonts w:ascii="Times New Roman" w:hAnsi="Times New Roman" w:cs="Times New Roman"/>
          <w:szCs w:val="32"/>
        </w:rPr>
        <w:t>，对其新认定</w:t>
      </w:r>
      <w:r>
        <w:rPr>
          <w:rFonts w:hint="default" w:ascii="Times New Roman" w:hAnsi="Times New Roman" w:cs="Times New Roman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baseline"/>
          <w:lang w:val="en-US" w:eastAsia="zh-CN" w:bidi="ar"/>
        </w:rPr>
        <w:t>国家技术创新中心、国家产业创新中心、国家制造业创新中心、全国重点实验室、国家级企业技术中心，每家奖励1000万元</w:t>
      </w:r>
      <w:r>
        <w:rPr>
          <w:rFonts w:ascii="Times New Roman" w:hAnsi="Times New Roman" w:cs="Times New Roman"/>
          <w:szCs w:val="32"/>
        </w:rPr>
        <w:t>；对其新认定的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新认定国家级工业设计中心、省级技术创新中心、省级制造业创新中心、粤港澳联合实验室、省级重点实验室，每家奖励150万元。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outlineLvl w:val="1"/>
        <w:rPr>
          <w:rFonts w:hint="default" w:ascii="Times New Roman" w:hAnsi="Times New Roman" w:eastAsia="楷体_GB2312" w:cs="Times New Roman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" w:bidi="ar-SA"/>
        </w:rPr>
        <w:t>八）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支持概念验证中心及中试平台建设</w:t>
      </w:r>
    </w:p>
    <w:p>
      <w:pPr>
        <w:pStyle w:val="2"/>
        <w:spacing w:line="600" w:lineRule="exact"/>
        <w:ind w:right="0" w:rightChars="0"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"/>
        </w:rPr>
        <w:t>支持概念验证中心及中试平台建设，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对获得国家、省概念验证中心</w:t>
      </w:r>
      <w:r>
        <w:rPr>
          <w:rFonts w:hint="eastAsia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中试平台认定的单位</w:t>
      </w:r>
      <w:r>
        <w:rPr>
          <w:rFonts w:hint="default" w:ascii="Times New Roman" w:hAnsi="Times New Roman" w:cs="Times New Roman"/>
          <w:sz w:val="32"/>
          <w:szCs w:val="32"/>
          <w:lang w:val="en-US" w:eastAsia="zh"/>
        </w:rPr>
        <w:t>，分别给予奖励50万元、30万元。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对松山湖内市级以上概念验证中心</w:t>
      </w:r>
      <w:r>
        <w:rPr>
          <w:rFonts w:hint="eastAsia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中试平台新购科研仪器设备（单台设备原值不低于10万元），按照新设备购置额</w:t>
      </w:r>
      <w:r>
        <w:rPr>
          <w:rFonts w:hint="eastAsia" w:cs="Times New Roman"/>
          <w:sz w:val="32"/>
          <w:szCs w:val="32"/>
          <w:lang w:val="en-US" w:eastAsia="zh-CN"/>
        </w:rPr>
        <w:t>的10%</w:t>
      </w:r>
      <w:r>
        <w:rPr>
          <w:rFonts w:hint="default" w:ascii="Times New Roman" w:hAnsi="Times New Roman" w:cs="Times New Roman"/>
          <w:sz w:val="32"/>
          <w:szCs w:val="32"/>
          <w:lang w:val="en-US" w:eastAsia="zh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分类给予最高300万元</w:t>
      </w:r>
      <w:r>
        <w:rPr>
          <w:rFonts w:hint="eastAsia" w:cs="Times New Roman"/>
          <w:kern w:val="2"/>
          <w:sz w:val="32"/>
          <w:szCs w:val="32"/>
          <w:lang w:val="en-US" w:eastAsia="zh-CN" w:bidi="ar"/>
        </w:rPr>
        <w:t>补贴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spacing w:line="600" w:lineRule="exact"/>
        <w:ind w:right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/>
        </w:rPr>
        <w:t>对符合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松山湖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"/>
        </w:rPr>
        <w:t>“1+4+1+X”产业体系领域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/>
        </w:rPr>
        <w:t>及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达到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/>
        </w:rPr>
        <w:t>市级以上中试平台认定建设标准，且新增固定资产投入不低于1亿元的平台，按照新购设备购置额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不高于20%的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"/>
        </w:rPr>
        <w:t>比例，给予最高2000万元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补贴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40" w:firstLineChars="200"/>
        <w:jc w:val="both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"/>
        </w:rPr>
        <w:t>九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鼓励科技企业孵化器评先争优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" w:bidi="ar-SA"/>
        </w:rPr>
        <w:t>鼓励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市级及以上孵化器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" w:bidi="ar-SA"/>
        </w:rPr>
        <w:t>评优争先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，对总评分排名前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" w:bidi="ar-SA"/>
        </w:rPr>
        <w:t>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的孵化器按梯度给予奖励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，最高100万元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"/>
        </w:rPr>
        <w:t>支持科技企业贷款贴息</w:t>
      </w:r>
    </w:p>
    <w:p>
      <w:pPr>
        <w:pStyle w:val="2"/>
        <w:numPr>
          <w:ilvl w:val="0"/>
          <w:numId w:val="0"/>
        </w:numPr>
        <w:spacing w:line="600" w:lineRule="exact"/>
        <w:ind w:right="0" w:rightChars="0"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>对获得信用贷款、融资担保贷款的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科技</w:t>
      </w:r>
      <w:r>
        <w:rPr>
          <w:rFonts w:hint="default" w:ascii="Times New Roman" w:hAnsi="Times New Roman" w:cs="Times New Roman"/>
          <w:bCs/>
          <w:sz w:val="32"/>
          <w:szCs w:val="32"/>
        </w:rPr>
        <w:t>企业，按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一定比例给予</w:t>
      </w:r>
      <w:r>
        <w:rPr>
          <w:rFonts w:hint="default" w:ascii="Times New Roman" w:hAnsi="Times New Roman" w:cs="Times New Roman"/>
          <w:bCs/>
          <w:sz w:val="32"/>
          <w:szCs w:val="32"/>
        </w:rPr>
        <w:t>贴息。具体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highlight w:val="none"/>
          <w:lang w:eastAsia="zh"/>
        </w:rPr>
        <w:t>以松山湖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highlight w:val="none"/>
          <w:lang w:eastAsia="zh-CN"/>
        </w:rPr>
        <w:t>管委会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highlight w:val="none"/>
          <w:lang w:eastAsia="zh"/>
        </w:rPr>
        <w:t>出台的相关金融政策为准</w:t>
      </w:r>
      <w:r>
        <w:rPr>
          <w:rFonts w:hint="default" w:ascii="Times New Roman" w:hAnsi="Times New Roman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"/>
        </w:rPr>
        <w:t>（十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" w:bidi="ar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"/>
        </w:rPr>
        <w:t>）支持企业投保科技保险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eastAsia" w:cs="Times New Roman"/>
          <w:bCs/>
          <w:sz w:val="32"/>
          <w:szCs w:val="32"/>
          <w:lang w:eastAsia="zh-CN"/>
        </w:rPr>
        <w:t>对投保科技保险的科技企业，</w:t>
      </w:r>
      <w:r>
        <w:rPr>
          <w:rFonts w:hint="default" w:ascii="Times New Roman" w:hAnsi="Times New Roman" w:cs="Times New Roman"/>
          <w:bCs/>
          <w:sz w:val="32"/>
          <w:szCs w:val="32"/>
        </w:rPr>
        <w:t>按实际支付保费的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一定</w:t>
      </w:r>
      <w:r>
        <w:rPr>
          <w:rFonts w:hint="default" w:ascii="Times New Roman" w:hAnsi="Times New Roman" w:cs="Times New Roman"/>
          <w:bCs/>
          <w:sz w:val="32"/>
          <w:szCs w:val="32"/>
        </w:rPr>
        <w:t>比例给予保费补贴。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highlight w:val="none"/>
        </w:rPr>
        <w:t>具体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highlight w:val="none"/>
          <w:lang w:eastAsia="zh"/>
        </w:rPr>
        <w:t>以松山湖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highlight w:val="none"/>
          <w:lang w:eastAsia="zh-CN"/>
        </w:rPr>
        <w:t>管委会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highlight w:val="none"/>
          <w:lang w:eastAsia="zh"/>
        </w:rPr>
        <w:t>出台的相关金融政策为准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"/>
        </w:rPr>
        <w:t>（十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" w:bidi="ar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"/>
        </w:rPr>
        <w:t>）构建政策型基金体系</w:t>
      </w:r>
    </w:p>
    <w:p>
      <w:pPr>
        <w:pStyle w:val="2"/>
        <w:spacing w:line="600" w:lineRule="exact"/>
        <w:ind w:right="0" w:rightChars="0"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color w:val="auto"/>
          <w:sz w:val="32"/>
          <w:szCs w:val="32"/>
          <w:highlight w:val="none"/>
          <w:lang w:val="en-US" w:eastAsia="zh"/>
        </w:rPr>
        <w:t>对符合松山湖“1+4+1+X”产业体系领域的项目，由松山湖政策性基金按基金管理办法进行投资。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baseline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vertAlign w:val="baseline"/>
          <w:lang w:val="en-US" w:eastAsia="zh-CN" w:bidi="ar"/>
        </w:rPr>
        <w:t>鼓励前沿科学研究和自由科学探索</w:t>
      </w:r>
    </w:p>
    <w:p>
      <w:pPr>
        <w:pStyle w:val="2"/>
        <w:numPr>
          <w:ilvl w:val="0"/>
          <w:numId w:val="0"/>
        </w:numPr>
        <w:spacing w:line="600" w:lineRule="exact"/>
        <w:ind w:right="0" w:rightChars="0"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sz w:val="32"/>
          <w:szCs w:val="32"/>
          <w:lang w:val="en-US" w:eastAsia="zh"/>
        </w:rPr>
        <w:t>每年安排不少于1500万元，</w:t>
      </w:r>
      <w:r>
        <w:rPr>
          <w:rFonts w:hint="eastAsia" w:cs="Times New Roman"/>
          <w:b w:val="0"/>
          <w:sz w:val="32"/>
          <w:szCs w:val="32"/>
          <w:lang w:val="en-US" w:eastAsia="zh-CN"/>
        </w:rPr>
        <w:t>参与组建</w:t>
      </w:r>
      <w:r>
        <w:rPr>
          <w:rFonts w:hint="default" w:ascii="Times New Roman" w:hAnsi="Times New Roman" w:cs="Times New Roman"/>
          <w:b w:val="0"/>
          <w:sz w:val="32"/>
          <w:szCs w:val="32"/>
          <w:lang w:val="en-US" w:eastAsia="zh-CN"/>
        </w:rPr>
        <w:t>“广东省基础与应用基础研究基金东莞市联合基金”，资助科研人员开展前沿科学研究和自由科学探索，</w:t>
      </w:r>
      <w:r>
        <w:rPr>
          <w:rFonts w:hint="eastAsia" w:cs="Times New Roman"/>
          <w:b w:val="0"/>
          <w:sz w:val="32"/>
          <w:szCs w:val="32"/>
          <w:lang w:val="en-US" w:eastAsia="zh-CN"/>
        </w:rPr>
        <w:t>基金</w:t>
      </w:r>
      <w:r>
        <w:rPr>
          <w:rFonts w:hint="default" w:ascii="Times New Roman" w:hAnsi="Times New Roman" w:cs="Times New Roman"/>
          <w:b w:val="0"/>
          <w:sz w:val="32"/>
          <w:szCs w:val="32"/>
          <w:lang w:val="en-US" w:eastAsia="zh-CN"/>
        </w:rPr>
        <w:t>具体</w:t>
      </w:r>
      <w:r>
        <w:rPr>
          <w:rFonts w:hint="eastAsia" w:cs="Times New Roman"/>
          <w:b w:val="0"/>
          <w:sz w:val="32"/>
          <w:szCs w:val="32"/>
          <w:lang w:val="en-US" w:eastAsia="zh-CN"/>
        </w:rPr>
        <w:t>组织实施工作</w:t>
      </w:r>
      <w:r>
        <w:rPr>
          <w:rFonts w:hint="default" w:ascii="Times New Roman" w:hAnsi="Times New Roman" w:cs="Times New Roman"/>
          <w:b w:val="0"/>
          <w:sz w:val="32"/>
          <w:szCs w:val="32"/>
          <w:lang w:val="en-US" w:eastAsia="zh-CN"/>
        </w:rPr>
        <w:t>由广东省基础与应用基础研究基金委员会</w:t>
      </w:r>
      <w:r>
        <w:rPr>
          <w:rFonts w:hint="eastAsia" w:cs="Times New Roman"/>
          <w:b w:val="0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cs="Times New Roman"/>
          <w:b w:val="0"/>
          <w:sz w:val="32"/>
          <w:szCs w:val="32"/>
          <w:lang w:val="en-US" w:eastAsia="zh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"/>
        </w:rPr>
        <w:t>推动科学普及</w:t>
      </w:r>
    </w:p>
    <w:p>
      <w:pPr>
        <w:pStyle w:val="2"/>
        <w:numPr>
          <w:ilvl w:val="0"/>
          <w:numId w:val="0"/>
        </w:numPr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i w:val="0"/>
          <w:color w:val="auto"/>
          <w:spacing w:val="0"/>
          <w:w w:val="100"/>
          <w:kern w:val="2"/>
          <w:sz w:val="32"/>
          <w:szCs w:val="24"/>
          <w:u w:val="none"/>
          <w:lang w:val="en-US" w:eastAsia="zh-CN" w:bidi="ar-SA"/>
        </w:rPr>
        <w:t>支持中小学和幼儿园聘任科学副校长，加强科学知识传播。</w:t>
      </w:r>
      <w:r>
        <w:rPr>
          <w:rFonts w:hint="default" w:ascii="Times New Roman" w:hAnsi="Times New Roman" w:cs="Times New Roman"/>
          <w:b w:val="0"/>
          <w:i w:val="0"/>
          <w:color w:val="auto"/>
          <w:spacing w:val="0"/>
          <w:w w:val="100"/>
          <w:kern w:val="2"/>
          <w:sz w:val="32"/>
          <w:szCs w:val="24"/>
          <w:u w:val="none"/>
          <w:lang w:val="en-US" w:eastAsia="zh" w:bidi="ar-SA"/>
        </w:rPr>
        <w:t>实施</w:t>
      </w:r>
      <w:r>
        <w:rPr>
          <w:rFonts w:hint="default" w:ascii="Times New Roman" w:hAnsi="Times New Roman" w:cs="Times New Roman"/>
          <w:sz w:val="32"/>
          <w:szCs w:val="32"/>
        </w:rPr>
        <w:t>科普阵地品质提升</w:t>
      </w:r>
      <w:r>
        <w:rPr>
          <w:rFonts w:hint="default" w:ascii="Times New Roman" w:hAnsi="Times New Roman" w:cs="Times New Roman"/>
          <w:sz w:val="32"/>
          <w:szCs w:val="32"/>
          <w:lang w:eastAsia="zh"/>
        </w:rPr>
        <w:t>计划，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"/>
        </w:rPr>
        <w:t>鼓励科普阵地开展高质量科普活动，</w:t>
      </w:r>
      <w:r>
        <w:rPr>
          <w:rFonts w:hint="default" w:ascii="Times New Roman" w:hAnsi="Times New Roman" w:cs="Times New Roman"/>
          <w:sz w:val="32"/>
          <w:szCs w:val="32"/>
        </w:rPr>
        <w:t>按</w:t>
      </w:r>
      <w:r>
        <w:rPr>
          <w:rFonts w:hint="eastAsia" w:cs="Times New Roman"/>
          <w:sz w:val="32"/>
          <w:szCs w:val="32"/>
          <w:lang w:eastAsia="zh-CN"/>
        </w:rPr>
        <w:t>科普阵地</w:t>
      </w:r>
      <w:r>
        <w:rPr>
          <w:rFonts w:hint="default" w:ascii="Times New Roman" w:hAnsi="Times New Roman" w:cs="Times New Roman"/>
          <w:sz w:val="32"/>
          <w:szCs w:val="32"/>
        </w:rPr>
        <w:t>活动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成效进行</w:t>
      </w:r>
      <w:r>
        <w:rPr>
          <w:rFonts w:hint="default" w:ascii="Times New Roman" w:hAnsi="Times New Roman" w:cs="Times New Roman"/>
          <w:sz w:val="32"/>
          <w:szCs w:val="32"/>
        </w:rPr>
        <w:t>量化</w:t>
      </w:r>
      <w:r>
        <w:rPr>
          <w:rFonts w:hint="default" w:ascii="Times New Roman" w:hAnsi="Times New Roman" w:cs="Times New Roman"/>
          <w:sz w:val="32"/>
          <w:szCs w:val="32"/>
          <w:lang w:eastAsia="zh"/>
        </w:rPr>
        <w:t>评比</w:t>
      </w:r>
      <w:r>
        <w:rPr>
          <w:rFonts w:hint="default" w:ascii="Times New Roman" w:hAnsi="Times New Roman" w:cs="Times New Roman"/>
          <w:sz w:val="32"/>
          <w:szCs w:val="32"/>
        </w:rPr>
        <w:t>，</w:t>
      </w:r>
      <w:r>
        <w:rPr>
          <w:rFonts w:hint="default" w:ascii="Times New Roman" w:hAnsi="Times New Roman" w:cs="Times New Roman"/>
          <w:sz w:val="32"/>
          <w:szCs w:val="32"/>
          <w:lang w:eastAsia="zh"/>
        </w:rPr>
        <w:t>分档给予奖励。</w:t>
      </w:r>
    </w:p>
    <w:p>
      <w:pPr>
        <w:spacing w:line="600" w:lineRule="exact"/>
        <w:ind w:firstLine="640"/>
        <w:jc w:val="both"/>
        <w:outlineLvl w:val="0"/>
        <w:rPr>
          <w:rFonts w:ascii="Times New Roman" w:hAnsi="Times New Roman" w:eastAsia="黑体" w:cs="Times New Roman"/>
          <w:szCs w:val="32"/>
        </w:rPr>
      </w:pPr>
      <w:bookmarkStart w:id="7" w:name="_Toc7769"/>
      <w:bookmarkStart w:id="8" w:name="_Toc32267"/>
      <w:r>
        <w:rPr>
          <w:rFonts w:ascii="Times New Roman" w:hAnsi="Times New Roman" w:eastAsia="黑体" w:cs="Times New Roman"/>
          <w:szCs w:val="32"/>
        </w:rPr>
        <w:t>三、主要亮点</w:t>
      </w:r>
      <w:bookmarkEnd w:id="7"/>
      <w:bookmarkEnd w:id="8"/>
    </w:p>
    <w:p>
      <w:pPr>
        <w:keepNext w:val="0"/>
        <w:keepLines w:val="0"/>
        <w:pageBreakBefore w:val="0"/>
        <w:widowControl w:val="0"/>
        <w:suppressLineNumbers w:val="0"/>
        <w:tabs>
          <w:tab w:val="left" w:pos="617"/>
        </w:tabs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t>（一）重视系统性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t>新政策核心条款既覆盖对成果落地、企业培育、技术创新、前沿探索等重要创新节点的支持，又引导</w:t>
      </w:r>
      <w:r>
        <w:rPr>
          <w:rFonts w:hint="default" w:ascii="Times New Roman" w:hAnsi="Times New Roman" w:cs="Times New Roman"/>
          <w:b w:val="0"/>
          <w:i w:val="0"/>
          <w:spacing w:val="0"/>
          <w:kern w:val="2"/>
          <w:sz w:val="32"/>
          <w:szCs w:val="32"/>
          <w:lang w:val="en-US" w:eastAsia="zh" w:bidi="ar"/>
        </w:rPr>
        <w:t>优化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t>创新平台支撑、科技金融赋能和科学氛围营造等</w:t>
      </w:r>
      <w:r>
        <w:rPr>
          <w:rFonts w:hint="default" w:ascii="Times New Roman" w:hAnsi="Times New Roman" w:cs="Times New Roman"/>
          <w:b w:val="0"/>
          <w:i w:val="0"/>
          <w:spacing w:val="0"/>
          <w:kern w:val="2"/>
          <w:sz w:val="32"/>
          <w:szCs w:val="32"/>
          <w:lang w:val="en-US" w:eastAsia="zh" w:bidi="ar"/>
        </w:rPr>
        <w:t>创新</w:t>
      </w:r>
      <w:r>
        <w:rPr>
          <w:rFonts w:hint="eastAsia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t>生态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t>，多环节系统性支持园区创新创业发展。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t>（二）强化效益性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t>《实施办法》注重与省、市科技政策做好错位互补，尽量</w:t>
      </w:r>
      <w:r>
        <w:rPr>
          <w:rFonts w:hint="eastAsia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t>减少</w:t>
      </w:r>
      <w:r>
        <w:rPr>
          <w:rFonts w:hint="default" w:ascii="Times New Roman" w:hAnsi="Times New Roman" w:eastAsia="仿宋_GB2312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t>与市级政策重复资助，提升财政资金效益。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t>（三）着力精准性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autoSpaceDE/>
        <w:autoSpaceDN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i w:val="0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spacing w:val="0"/>
          <w:kern w:val="2"/>
          <w:sz w:val="32"/>
          <w:szCs w:val="24"/>
          <w:u w:val="none"/>
          <w:lang w:val="en-US" w:eastAsia="zh-CN" w:bidi="ar-SA"/>
        </w:rPr>
        <w:t>立足支持科技企业播种育苗、中小企业发展壮大、大企业稳健发展，提出针对性政策措施。同时，</w:t>
      </w:r>
      <w:r>
        <w:rPr>
          <w:rFonts w:hint="default" w:ascii="Times New Roman" w:hAnsi="Times New Roman" w:cs="Times New Roman"/>
          <w:b w:val="0"/>
          <w:i w:val="0"/>
          <w:spacing w:val="0"/>
          <w:w w:val="100"/>
          <w:kern w:val="2"/>
          <w:sz w:val="32"/>
          <w:szCs w:val="24"/>
          <w:u w:val="none"/>
          <w:lang w:val="en-US" w:eastAsia="zh-CN" w:bidi="ar-SA"/>
        </w:rPr>
        <w:t>加强对企业融资、产学研合作等市场化环节的激励，强化“雪中送炭”作用。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t>（四）维持连贯性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i w:val="0"/>
          <w:spacing w:val="0"/>
          <w:kern w:val="2"/>
          <w:sz w:val="32"/>
          <w:szCs w:val="32"/>
          <w:lang w:val="en-US" w:eastAsia="zh-CN" w:bidi="ar"/>
        </w:rPr>
        <w:t>对于关键环节的支持，新政策充分考虑与过往政策的衔接，让政策受众形成稳定预期，使政策的实施效果得以持续积累和强化。</w:t>
      </w:r>
    </w:p>
    <w:sectPr>
      <w:pgSz w:w="11906" w:h="16838"/>
      <w:pgMar w:top="1701" w:right="1304" w:bottom="1304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  <w:ind w:firstLine="640"/>
      </w:pPr>
      <w:r>
        <w:separator/>
      </w:r>
    </w:p>
  </w:footnote>
  <w:footnote w:type="continuationSeparator" w:id="3">
    <w:p>
      <w:pPr>
        <w:spacing w:line="240" w:lineRule="auto"/>
        <w:ind w:firstLine="640"/>
      </w:pPr>
      <w:r>
        <w:continuationSeparator/>
      </w:r>
    </w:p>
  </w:footnote>
  <w:footnote w:id="0"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val="en-US" w:eastAsia="zh-CN"/>
        </w:rPr>
        <w:t>2024年印发的《东莞松山湖促进源头创新实施办法》《东莞松山湖支持技术研发实施办法》《东莞松山湖促进科技成果转移转化实施办法》《东莞松山湖科技企业培育实施办法》《东莞松山湖营造创新环境实施办法》五份科技政策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DF49F"/>
    <w:multiLevelType w:val="singleLevel"/>
    <w:tmpl w:val="DBFDF49F"/>
    <w:lvl w:ilvl="0" w:tentative="0">
      <w:start w:val="1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5FCA86E"/>
    <w:multiLevelType w:val="singleLevel"/>
    <w:tmpl w:val="15FCA8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FDE29CD"/>
    <w:multiLevelType w:val="singleLevel"/>
    <w:tmpl w:val="3FDE29CD"/>
    <w:lvl w:ilvl="0" w:tentative="0">
      <w:start w:val="10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93CA3"/>
    <w:rsid w:val="02FF3D0B"/>
    <w:rsid w:val="09A93CA3"/>
    <w:rsid w:val="0E3C7A6D"/>
    <w:rsid w:val="1C6A231B"/>
    <w:rsid w:val="23150658"/>
    <w:rsid w:val="25DFD3D4"/>
    <w:rsid w:val="2ACB4616"/>
    <w:rsid w:val="2BB33769"/>
    <w:rsid w:val="318C13CD"/>
    <w:rsid w:val="31D15D4E"/>
    <w:rsid w:val="3EFFD514"/>
    <w:rsid w:val="3FFFB135"/>
    <w:rsid w:val="458B3E09"/>
    <w:rsid w:val="4BF86F1B"/>
    <w:rsid w:val="4F37AB9F"/>
    <w:rsid w:val="5DF47259"/>
    <w:rsid w:val="6BBF1B2B"/>
    <w:rsid w:val="6E7478F4"/>
    <w:rsid w:val="6EE66D22"/>
    <w:rsid w:val="6FFE3363"/>
    <w:rsid w:val="704E0CBB"/>
    <w:rsid w:val="7179BF70"/>
    <w:rsid w:val="71D07A7A"/>
    <w:rsid w:val="71F94A8E"/>
    <w:rsid w:val="74312769"/>
    <w:rsid w:val="74BD40E0"/>
    <w:rsid w:val="79B3167B"/>
    <w:rsid w:val="7BA64FBF"/>
    <w:rsid w:val="7CA6F003"/>
    <w:rsid w:val="7CFAA570"/>
    <w:rsid w:val="7DF180A4"/>
    <w:rsid w:val="9DFBBB66"/>
    <w:rsid w:val="9F3CD909"/>
    <w:rsid w:val="AD7B0AEC"/>
    <w:rsid w:val="AE97F0BB"/>
    <w:rsid w:val="BBA7170F"/>
    <w:rsid w:val="EF6B5080"/>
    <w:rsid w:val="EFDF2D4A"/>
    <w:rsid w:val="EFEBD029"/>
    <w:rsid w:val="F2BE459E"/>
    <w:rsid w:val="F57EFDE6"/>
    <w:rsid w:val="F9AF0E16"/>
    <w:rsid w:val="FB72A6B4"/>
    <w:rsid w:val="FBDB174B"/>
    <w:rsid w:val="FED7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-35" w:rightChars="-12"/>
    </w:pPr>
    <w:rPr>
      <w:sz w:val="31"/>
    </w:rPr>
  </w:style>
  <w:style w:type="paragraph" w:styleId="3">
    <w:name w:val="footnote text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 w:line="600" w:lineRule="exact"/>
      <w:ind w:left="0" w:right="0" w:firstLine="600" w:firstLineChars="200"/>
      <w:jc w:val="left"/>
    </w:pPr>
    <w:rPr>
      <w:rFonts w:hint="default" w:ascii="Times New Roman" w:hAnsi="Times New Roman" w:eastAsia="仿宋_GB2312" w:cs="Times New Roman"/>
      <w:kern w:val="2"/>
      <w:sz w:val="18"/>
      <w:szCs w:val="18"/>
      <w:lang w:val="en-US" w:eastAsia="zh-CN" w:bidi="ar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annotation reference"/>
    <w:basedOn w:val="6"/>
    <w:semiHidden/>
    <w:unhideWhenUsed/>
    <w:qFormat/>
    <w:uiPriority w:val="0"/>
    <w:rPr>
      <w:rFonts w:ascii="Calibri" w:hAnsi="Calibri" w:eastAsia="宋体" w:cs="Times New Roman"/>
      <w:sz w:val="21"/>
      <w:szCs w:val="21"/>
    </w:rPr>
  </w:style>
  <w:style w:type="character" w:styleId="8">
    <w:name w:val="footnote reference"/>
    <w:basedOn w:val="6"/>
    <w:qFormat/>
    <w:uiPriority w:val="0"/>
    <w:rPr>
      <w:vertAlign w:val="superscript"/>
    </w:rPr>
  </w:style>
  <w:style w:type="character" w:customStyle="1" w:styleId="9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15"/>
    <w:basedOn w:val="6"/>
    <w:qFormat/>
    <w:uiPriority w:val="0"/>
    <w:rPr>
      <w:rFonts w:hint="default" w:ascii="Times New Roman" w:hAnsi="Times New Roman"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2025-06-24T19:24:00Z</dcterms:created>
  <dc:creator>孙辉</dc:creator>
  <cp:lastModifiedBy>王巧玲</cp:lastModifiedBy>
  <cp:lastPrinted>2025-09-22T03:38:47Z</cp:lastPrinted>
  <dcterms:modified xsi:type="dcterms:W3CDTF">2025-09-22T03:38:52Z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33B5109F282FE5001B585E6896319CC9_43</vt:lpwstr>
  </property>
</Properties>
</file>