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eastAsia" w:ascii="黑体" w:hAnsi="黑体" w:eastAsia="黑体" w:cs="黑体"/>
          <w:b w:val="0"/>
          <w:bCs w:val="0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附件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1-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2</w:t>
      </w:r>
      <w:bookmarkStart w:id="0" w:name="_GoBack"/>
      <w:bookmarkEnd w:id="0"/>
    </w:p>
    <w:p>
      <w:pPr>
        <w:keepNext w:val="0"/>
        <w:keepLines w:val="0"/>
        <w:pageBreakBefore w:val="0"/>
        <w:widowControl/>
        <w:tabs>
          <w:tab w:val="center" w:pos="4422"/>
        </w:tabs>
        <w:spacing w:line="520" w:lineRule="exact"/>
        <w:jc w:val="center"/>
        <w:rPr>
          <w:rFonts w:hint="default" w:ascii="方正小标宋_GBK" w:hAnsi="方正小标宋_GBK" w:eastAsia="方正小标宋_GBK" w:cs="方正小标宋_GBK"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/>
        <w:tabs>
          <w:tab w:val="center" w:pos="4422"/>
        </w:tabs>
        <w:spacing w:line="520" w:lineRule="exact"/>
        <w:jc w:val="center"/>
        <w:rPr>
          <w:rFonts w:hint="eastAsia" w:ascii="方正小标宋_GBK" w:hAnsi="方正小标宋_GBK" w:eastAsia="方正小标宋_GBK" w:cs="方正小标宋_GBK"/>
          <w:sz w:val="44"/>
          <w:szCs w:val="44"/>
          <w:highlight w:val="none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  <w:t>松山湖科学副校长工作开展情况报告</w:t>
      </w:r>
    </w:p>
    <w:p>
      <w:pPr>
        <w:keepNext w:val="0"/>
        <w:keepLines w:val="0"/>
        <w:pageBreakBefore w:val="0"/>
        <w:widowControl/>
        <w:tabs>
          <w:tab w:val="center" w:pos="4422"/>
        </w:tabs>
        <w:spacing w:line="520" w:lineRule="exact"/>
        <w:jc w:val="center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（请参考下述题纲提供有关内容）</w:t>
      </w:r>
    </w:p>
    <w:p>
      <w:pPr>
        <w:pStyle w:val="2"/>
        <w:keepNext w:val="0"/>
        <w:keepLines w:val="0"/>
        <w:pageBreakBefore w:val="0"/>
        <w:widowControl/>
        <w:tabs>
          <w:tab w:val="left" w:pos="834"/>
          <w:tab w:val="left" w:pos="909"/>
        </w:tabs>
        <w:spacing w:after="0" w:line="520" w:lineRule="exact"/>
        <w:jc w:val="left"/>
        <w:rPr>
          <w:rFonts w:hint="eastAsia" w:ascii="楷体_GB2312" w:hAnsi="楷体_GB2312" w:eastAsia="楷体_GB2312" w:cs="楷体_GB2312"/>
          <w:b/>
          <w:bCs/>
          <w:sz w:val="32"/>
          <w:szCs w:val="32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/>
        <w:tabs>
          <w:tab w:val="left" w:pos="834"/>
          <w:tab w:val="left" w:pos="90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ind w:firstLine="964"/>
        <w:jc w:val="left"/>
        <w:textAlignment w:val="auto"/>
        <w:rPr>
          <w:b/>
          <w:bCs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  <w:lang w:val="en-US" w:eastAsia="zh-CN"/>
        </w:rPr>
        <w:t>一、</w:t>
      </w:r>
      <w:r>
        <w:rPr>
          <w:rFonts w:hint="eastAsia" w:ascii="楷体_GB2312" w:hAnsi="楷体_GB2312" w:eastAsia="楷体_GB2312" w:cs="楷体_GB2312"/>
          <w:b/>
          <w:bCs/>
          <w:sz w:val="32"/>
          <w:szCs w:val="32"/>
        </w:rPr>
        <w:t>非首次申请单位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ind w:left="320" w:firstLine="640"/>
        <w:textAlignment w:val="auto"/>
        <w:rPr>
          <w:sz w:val="32"/>
          <w:szCs w:val="32"/>
        </w:rPr>
      </w:pPr>
      <w:r>
        <w:rPr>
          <w:rFonts w:hint="eastAsia"/>
          <w:sz w:val="32"/>
          <w:szCs w:val="32"/>
          <w:lang w:val="en-US" w:eastAsia="zh-CN"/>
        </w:rPr>
        <w:t>1</w:t>
      </w:r>
      <w:r>
        <w:rPr>
          <w:rFonts w:hint="eastAsia"/>
          <w:sz w:val="32"/>
          <w:szCs w:val="32"/>
        </w:rPr>
        <w:t>、2025年</w:t>
      </w:r>
      <w:r>
        <w:rPr>
          <w:rFonts w:hint="eastAsia"/>
          <w:sz w:val="32"/>
          <w:szCs w:val="32"/>
          <w:lang w:val="en-US" w:eastAsia="zh-CN"/>
        </w:rPr>
        <w:t>科学副校长</w:t>
      </w:r>
      <w:r>
        <w:rPr>
          <w:rFonts w:hint="eastAsia"/>
          <w:sz w:val="32"/>
          <w:szCs w:val="32"/>
        </w:rPr>
        <w:t>工作总结（附开展活动相片</w:t>
      </w:r>
      <w:r>
        <w:rPr>
          <w:rFonts w:hint="eastAsia"/>
          <w:sz w:val="32"/>
          <w:szCs w:val="32"/>
          <w:lang w:eastAsia="zh-CN"/>
        </w:rPr>
        <w:t>、</w:t>
      </w:r>
      <w:r>
        <w:rPr>
          <w:rFonts w:hint="eastAsia"/>
          <w:sz w:val="32"/>
          <w:szCs w:val="32"/>
          <w:lang w:val="en-US" w:eastAsia="zh-CN"/>
        </w:rPr>
        <w:t>学校报道等佐证材料，</w:t>
      </w:r>
      <w:r>
        <w:rPr>
          <w:rFonts w:hint="eastAsia"/>
          <w:sz w:val="32"/>
          <w:szCs w:val="32"/>
        </w:rPr>
        <w:t>并</w:t>
      </w:r>
      <w:r>
        <w:rPr>
          <w:rFonts w:hint="eastAsia" w:ascii="仿宋_GB2312" w:hAnsi="仿宋_GB2312" w:cs="仿宋_GB2312"/>
          <w:sz w:val="32"/>
          <w:szCs w:val="32"/>
        </w:rPr>
        <w:t>突出托依科学副校长开展成效</w:t>
      </w:r>
      <w:r>
        <w:rPr>
          <w:rFonts w:hint="eastAsia"/>
          <w:sz w:val="32"/>
          <w:szCs w:val="32"/>
        </w:rPr>
        <w:t>）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ind w:left="320" w:firstLine="640"/>
        <w:textAlignment w:val="auto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2</w:t>
      </w:r>
      <w:r>
        <w:rPr>
          <w:rFonts w:hint="eastAsia"/>
          <w:sz w:val="32"/>
          <w:szCs w:val="32"/>
        </w:rPr>
        <w:t>、2025年</w:t>
      </w:r>
      <w:r>
        <w:rPr>
          <w:rFonts w:hint="eastAsia"/>
          <w:sz w:val="32"/>
          <w:szCs w:val="32"/>
          <w:lang w:val="en-US" w:eastAsia="zh-CN"/>
        </w:rPr>
        <w:t>科学副校长工作经费补贴开支</w:t>
      </w:r>
      <w:r>
        <w:rPr>
          <w:rFonts w:hint="eastAsia"/>
          <w:sz w:val="32"/>
          <w:szCs w:val="32"/>
        </w:rPr>
        <w:t>情况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ind w:left="320" w:firstLine="668"/>
        <w:textAlignment w:val="auto"/>
        <w:rPr>
          <w:rFonts w:ascii="仿宋_GB2312" w:hAnsi="仿宋_GB2312" w:cs="仿宋_GB2312"/>
          <w:sz w:val="32"/>
          <w:szCs w:val="32"/>
        </w:rPr>
      </w:pPr>
      <w:r>
        <w:rPr>
          <w:rFonts w:hint="eastAsia"/>
          <w:sz w:val="32"/>
          <w:szCs w:val="32"/>
          <w:lang w:val="en-US" w:eastAsia="zh-CN"/>
        </w:rPr>
        <w:t>3</w:t>
      </w:r>
      <w:r>
        <w:rPr>
          <w:rFonts w:hint="eastAsia"/>
          <w:sz w:val="32"/>
          <w:szCs w:val="32"/>
        </w:rPr>
        <w:t>、2026年</w:t>
      </w:r>
      <w:r>
        <w:rPr>
          <w:rFonts w:hint="eastAsia"/>
          <w:sz w:val="32"/>
          <w:szCs w:val="32"/>
          <w:lang w:val="en-US" w:eastAsia="zh-CN"/>
        </w:rPr>
        <w:t>科学副校长工</w:t>
      </w:r>
      <w:r>
        <w:rPr>
          <w:rFonts w:hint="eastAsia"/>
          <w:sz w:val="32"/>
          <w:szCs w:val="32"/>
        </w:rPr>
        <w:t>作计划</w:t>
      </w:r>
      <w:r>
        <w:rPr>
          <w:rFonts w:hint="eastAsia" w:ascii="仿宋_GB2312" w:hAnsi="仿宋_GB2312" w:cs="仿宋_GB2312"/>
          <w:sz w:val="32"/>
          <w:szCs w:val="32"/>
        </w:rPr>
        <w:t>（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重点</w:t>
      </w:r>
      <w:r>
        <w:rPr>
          <w:rFonts w:hint="eastAsia" w:ascii="仿宋_GB2312" w:hAnsi="仿宋_GB2312" w:cs="仿宋_GB2312"/>
          <w:sz w:val="32"/>
          <w:szCs w:val="32"/>
        </w:rPr>
        <w:t>突出托依科学副校长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内容</w:t>
      </w:r>
      <w:r>
        <w:rPr>
          <w:rFonts w:hint="eastAsia" w:ascii="仿宋_GB2312" w:hAnsi="仿宋_GB2312" w:cs="仿宋_GB2312"/>
          <w:sz w:val="32"/>
          <w:szCs w:val="32"/>
        </w:rPr>
        <w:t>）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ind w:firstLine="960"/>
        <w:textAlignment w:val="auto"/>
        <w:rPr>
          <w:rFonts w:hint="default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4</w:t>
      </w:r>
      <w:r>
        <w:rPr>
          <w:rFonts w:hint="eastAsia"/>
          <w:sz w:val="32"/>
          <w:szCs w:val="32"/>
        </w:rPr>
        <w:t>、2026年</w:t>
      </w:r>
      <w:r>
        <w:rPr>
          <w:rFonts w:hint="eastAsia"/>
          <w:sz w:val="32"/>
          <w:szCs w:val="32"/>
          <w:lang w:val="en-US" w:eastAsia="zh-CN"/>
        </w:rPr>
        <w:t>科学副校长工作经费补贴使用计划（以下内容供参考，可根据实际开支情况调整）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ind w:firstLine="960"/>
        <w:textAlignment w:val="auto"/>
        <w:rPr>
          <w:rFonts w:ascii="仿宋_GB2312" w:hAnsi="仿宋_GB2312" w:cs="仿宋_GB2312"/>
          <w:sz w:val="32"/>
          <w:szCs w:val="32"/>
        </w:rPr>
      </w:pP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（1）</w:t>
      </w:r>
      <w:r>
        <w:rPr>
          <w:rFonts w:hint="eastAsia" w:ascii="仿宋_GB2312" w:hAnsi="仿宋_GB2312" w:cs="仿宋_GB2312"/>
          <w:sz w:val="32"/>
          <w:szCs w:val="32"/>
        </w:rPr>
        <w:t>科普讲座（包括专家劳务费、课件实验用品）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ind w:firstLine="960"/>
        <w:textAlignment w:val="auto"/>
        <w:rPr>
          <w:rFonts w:ascii="仿宋_GB2312" w:hAnsi="仿宋_GB2312" w:cs="仿宋_GB2312"/>
          <w:sz w:val="32"/>
          <w:szCs w:val="32"/>
        </w:rPr>
      </w:pP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（2）</w:t>
      </w:r>
      <w:r>
        <w:rPr>
          <w:rFonts w:hint="eastAsia" w:ascii="仿宋_GB2312" w:hAnsi="仿宋_GB2312" w:cs="仿宋_GB2312"/>
          <w:sz w:val="32"/>
          <w:szCs w:val="32"/>
        </w:rPr>
        <w:t>科学实验（包括小型设备、材料费、</w:t>
      </w:r>
      <w:r>
        <w:rPr>
          <w:rStyle w:val="5"/>
          <w:rFonts w:hint="eastAsia" w:ascii="仿宋_GB2312" w:hAnsi="仿宋_GB2312" w:cs="仿宋_GB2312"/>
          <w:b w:val="0"/>
          <w:color w:val="0F1115"/>
          <w:sz w:val="32"/>
          <w:szCs w:val="32"/>
          <w:shd w:val="clear" w:color="auto" w:fill="FFFFFF"/>
        </w:rPr>
        <w:t>消耗品</w:t>
      </w:r>
      <w:r>
        <w:rPr>
          <w:rFonts w:hint="eastAsia" w:ascii="仿宋_GB2312" w:hAnsi="仿宋_GB2312" w:cs="仿宋_GB2312"/>
          <w:sz w:val="32"/>
          <w:szCs w:val="32"/>
        </w:rPr>
        <w:t>等）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ind w:firstLine="960"/>
        <w:textAlignment w:val="auto"/>
        <w:rPr>
          <w:rFonts w:ascii="仿宋_GB2312" w:hAnsi="仿宋_GB2312" w:cs="仿宋_GB2312"/>
          <w:sz w:val="32"/>
          <w:szCs w:val="32"/>
        </w:rPr>
      </w:pP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（3）</w:t>
      </w:r>
      <w:r>
        <w:rPr>
          <w:rFonts w:hint="eastAsia" w:ascii="仿宋_GB2312" w:hAnsi="仿宋_GB2312" w:cs="仿宋_GB2312"/>
          <w:sz w:val="32"/>
          <w:szCs w:val="32"/>
        </w:rPr>
        <w:t>科技竞赛（包括场地布置、物料、证书等）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ind w:firstLine="960"/>
        <w:textAlignment w:val="auto"/>
        <w:rPr>
          <w:rFonts w:hint="default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（4）</w:t>
      </w:r>
      <w:r>
        <w:rPr>
          <w:rFonts w:hint="eastAsia" w:ascii="仿宋_GB2312" w:hAnsi="仿宋_GB2312" w:cs="仿宋_GB2312"/>
          <w:sz w:val="32"/>
          <w:szCs w:val="32"/>
        </w:rPr>
        <w:t>其他经费（如资料印刷、</w:t>
      </w:r>
      <w:r>
        <w:rPr>
          <w:rStyle w:val="5"/>
          <w:rFonts w:hint="eastAsia" w:ascii="仿宋_GB2312" w:hAnsi="仿宋_GB2312" w:cs="仿宋_GB2312"/>
          <w:b w:val="0"/>
          <w:color w:val="0F1115"/>
          <w:sz w:val="32"/>
          <w:szCs w:val="32"/>
          <w:shd w:val="clear" w:color="auto" w:fill="FFFFFF"/>
        </w:rPr>
        <w:t>后勤保障费、保险、志愿者补贴等</w:t>
      </w:r>
      <w:r>
        <w:rPr>
          <w:rFonts w:hint="eastAsia" w:ascii="仿宋_GB2312" w:hAnsi="仿宋_GB2312" w:cs="仿宋_GB2312"/>
          <w:sz w:val="32"/>
          <w:szCs w:val="32"/>
        </w:rPr>
        <w:t>杂费）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ind w:firstLine="643"/>
        <w:textAlignment w:val="auto"/>
        <w:rPr>
          <w:rFonts w:hint="eastAsia" w:ascii="仿宋_GB2312" w:hAnsi="仿宋_GB2312" w:cs="仿宋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  <w:lang w:val="en-US" w:eastAsia="zh-CN"/>
        </w:rPr>
        <w:t>二、</w:t>
      </w:r>
      <w:r>
        <w:rPr>
          <w:rFonts w:hint="eastAsia" w:ascii="楷体_GB2312" w:hAnsi="楷体_GB2312" w:eastAsia="楷体_GB2312" w:cs="楷体_GB2312"/>
          <w:b/>
          <w:bCs/>
          <w:sz w:val="32"/>
          <w:szCs w:val="32"/>
        </w:rPr>
        <w:t>首次申请单位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ind w:firstLine="640"/>
        <w:textAlignment w:val="auto"/>
        <w:rPr>
          <w:rFonts w:ascii="仿宋_GB2312" w:hAnsi="仿宋_GB2312" w:cs="仿宋_GB2312"/>
          <w:sz w:val="32"/>
          <w:szCs w:val="32"/>
        </w:rPr>
      </w:pPr>
      <w:r>
        <w:rPr>
          <w:rFonts w:hint="eastAsia"/>
          <w:sz w:val="32"/>
          <w:szCs w:val="32"/>
          <w:lang w:val="en-US" w:eastAsia="zh-CN"/>
        </w:rPr>
        <w:t>1</w:t>
      </w:r>
      <w:r>
        <w:rPr>
          <w:rFonts w:hint="eastAsia"/>
          <w:sz w:val="32"/>
          <w:szCs w:val="32"/>
        </w:rPr>
        <w:t>、2026年</w:t>
      </w:r>
      <w:r>
        <w:rPr>
          <w:rFonts w:hint="eastAsia"/>
          <w:sz w:val="32"/>
          <w:szCs w:val="32"/>
          <w:lang w:val="en-US" w:eastAsia="zh-CN"/>
        </w:rPr>
        <w:t>科学副校长工</w:t>
      </w:r>
      <w:r>
        <w:rPr>
          <w:rFonts w:hint="eastAsia"/>
          <w:sz w:val="32"/>
          <w:szCs w:val="32"/>
        </w:rPr>
        <w:t>作计划</w:t>
      </w:r>
      <w:r>
        <w:rPr>
          <w:rFonts w:hint="eastAsia" w:ascii="仿宋_GB2312" w:hAnsi="仿宋_GB2312" w:cs="仿宋_GB2312"/>
          <w:sz w:val="32"/>
          <w:szCs w:val="32"/>
        </w:rPr>
        <w:t>（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重点</w:t>
      </w:r>
      <w:r>
        <w:rPr>
          <w:rFonts w:hint="eastAsia" w:ascii="仿宋_GB2312" w:hAnsi="仿宋_GB2312" w:cs="仿宋_GB2312"/>
          <w:sz w:val="32"/>
          <w:szCs w:val="32"/>
        </w:rPr>
        <w:t>突出托依科学副校长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内容</w:t>
      </w:r>
      <w:r>
        <w:rPr>
          <w:rFonts w:hint="eastAsia" w:ascii="仿宋_GB2312" w:hAnsi="仿宋_GB2312" w:cs="仿宋_GB2312"/>
          <w:sz w:val="32"/>
          <w:szCs w:val="32"/>
        </w:rPr>
        <w:t>）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ind w:firstLine="640"/>
        <w:textAlignment w:val="auto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2</w:t>
      </w:r>
      <w:r>
        <w:rPr>
          <w:rFonts w:hint="eastAsia"/>
          <w:sz w:val="32"/>
          <w:szCs w:val="32"/>
        </w:rPr>
        <w:t>、2026年</w:t>
      </w:r>
      <w:r>
        <w:rPr>
          <w:rFonts w:hint="eastAsia"/>
          <w:sz w:val="32"/>
          <w:szCs w:val="32"/>
          <w:lang w:val="en-US" w:eastAsia="zh-CN"/>
        </w:rPr>
        <w:t>科学副校长工作经费补贴使用计划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ind w:firstLine="640"/>
        <w:textAlignment w:val="auto"/>
        <w:rPr>
          <w:rFonts w:ascii="仿宋_GB2312" w:hAnsi="仿宋_GB2312" w:cs="仿宋_GB2312"/>
          <w:sz w:val="32"/>
          <w:szCs w:val="32"/>
        </w:rPr>
      </w:pP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（1）</w:t>
      </w:r>
      <w:r>
        <w:rPr>
          <w:rFonts w:hint="eastAsia" w:ascii="仿宋_GB2312" w:hAnsi="仿宋_GB2312" w:cs="仿宋_GB2312"/>
          <w:sz w:val="32"/>
          <w:szCs w:val="32"/>
        </w:rPr>
        <w:t>科普讲座（包括专家劳务费、课件实验用品）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ind w:firstLine="640"/>
        <w:textAlignment w:val="auto"/>
        <w:rPr>
          <w:rFonts w:ascii="仿宋_GB2312" w:hAnsi="仿宋_GB2312" w:cs="仿宋_GB2312"/>
          <w:sz w:val="32"/>
          <w:szCs w:val="32"/>
        </w:rPr>
      </w:pP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（2）</w:t>
      </w:r>
      <w:r>
        <w:rPr>
          <w:rFonts w:hint="eastAsia" w:ascii="仿宋_GB2312" w:hAnsi="仿宋_GB2312" w:cs="仿宋_GB2312"/>
          <w:sz w:val="32"/>
          <w:szCs w:val="32"/>
        </w:rPr>
        <w:t>科学实验（包括小型设备、材料费、</w:t>
      </w:r>
      <w:r>
        <w:rPr>
          <w:rStyle w:val="5"/>
          <w:rFonts w:hint="eastAsia" w:ascii="仿宋_GB2312" w:hAnsi="仿宋_GB2312" w:cs="仿宋_GB2312"/>
          <w:b w:val="0"/>
          <w:color w:val="0F1115"/>
          <w:sz w:val="32"/>
          <w:szCs w:val="32"/>
          <w:shd w:val="clear" w:color="auto" w:fill="FFFFFF"/>
        </w:rPr>
        <w:t>消耗品</w:t>
      </w:r>
      <w:r>
        <w:rPr>
          <w:rFonts w:hint="eastAsia" w:ascii="仿宋_GB2312" w:hAnsi="仿宋_GB2312" w:cs="仿宋_GB2312"/>
          <w:sz w:val="32"/>
          <w:szCs w:val="32"/>
        </w:rPr>
        <w:t>等）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ind w:firstLine="640"/>
        <w:textAlignment w:val="auto"/>
        <w:rPr>
          <w:rFonts w:ascii="仿宋_GB2312" w:hAnsi="仿宋_GB2312" w:cs="仿宋_GB2312"/>
          <w:sz w:val="32"/>
          <w:szCs w:val="32"/>
        </w:rPr>
      </w:pP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（3）</w:t>
      </w:r>
      <w:r>
        <w:rPr>
          <w:rFonts w:hint="eastAsia" w:ascii="仿宋_GB2312" w:hAnsi="仿宋_GB2312" w:cs="仿宋_GB2312"/>
          <w:sz w:val="32"/>
          <w:szCs w:val="32"/>
        </w:rPr>
        <w:t>科技竞赛（包括场地布置、物料、证书等）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/>
        <w:textAlignment w:val="auto"/>
        <w:rPr>
          <w:sz w:val="32"/>
          <w:szCs w:val="32"/>
        </w:rPr>
      </w:pPr>
      <w:r>
        <w:rPr>
          <w:rFonts w:hint="eastAsia"/>
          <w:sz w:val="32"/>
          <w:szCs w:val="32"/>
          <w:lang w:val="en-US" w:eastAsia="zh-CN"/>
        </w:rPr>
        <w:t>（4）</w:t>
      </w:r>
      <w:r>
        <w:rPr>
          <w:rFonts w:hint="eastAsia" w:ascii="仿宋_GB2312" w:hAnsi="仿宋_GB2312" w:cs="仿宋_GB2312"/>
          <w:sz w:val="32"/>
          <w:szCs w:val="32"/>
        </w:rPr>
        <w:t>其他经费（如资料印刷、</w:t>
      </w:r>
      <w:r>
        <w:rPr>
          <w:rStyle w:val="5"/>
          <w:rFonts w:hint="eastAsia" w:ascii="仿宋_GB2312" w:hAnsi="仿宋_GB2312" w:cs="仿宋_GB2312"/>
          <w:b w:val="0"/>
          <w:color w:val="0F1115"/>
          <w:sz w:val="32"/>
          <w:szCs w:val="32"/>
          <w:shd w:val="clear" w:color="auto" w:fill="FFFFFF"/>
        </w:rPr>
        <w:t>后勤保障费、保险、志愿者补贴等</w:t>
      </w:r>
      <w:r>
        <w:rPr>
          <w:rFonts w:hint="eastAsia" w:ascii="仿宋_GB2312" w:hAnsi="仿宋_GB2312" w:cs="仿宋_GB2312"/>
          <w:sz w:val="32"/>
          <w:szCs w:val="32"/>
        </w:rPr>
        <w:t>杂费）</w:t>
      </w:r>
    </w:p>
    <w:p>
      <w:pPr>
        <w:keepNext w:val="0"/>
        <w:keepLines w:val="0"/>
        <w:pageBreakBefore w:val="0"/>
        <w:widowControl/>
        <w:tabs>
          <w:tab w:val="center" w:pos="4422"/>
        </w:tabs>
        <w:spacing w:line="520" w:lineRule="exact"/>
        <w:jc w:val="left"/>
        <w:rPr>
          <w:rFonts w:hint="eastAsia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/>
        <w:tabs>
          <w:tab w:val="center" w:pos="4422"/>
        </w:tabs>
        <w:spacing w:line="520" w:lineRule="exact"/>
        <w:jc w:val="left"/>
        <w:rPr>
          <w:rFonts w:hint="eastAsia"/>
          <w:sz w:val="32"/>
          <w:szCs w:val="32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/>
        <w:tabs>
          <w:tab w:val="center" w:pos="4422"/>
        </w:tabs>
        <w:spacing w:line="520" w:lineRule="exact"/>
        <w:jc w:val="left"/>
        <w:rPr>
          <w:b/>
          <w:bCs/>
          <w:sz w:val="32"/>
          <w:szCs w:val="32"/>
        </w:rPr>
      </w:pPr>
    </w:p>
    <w:p>
      <w:pPr>
        <w:keepNext w:val="0"/>
        <w:keepLines w:val="0"/>
        <w:pageBreakBefore w:val="0"/>
        <w:widowControl/>
        <w:tabs>
          <w:tab w:val="center" w:pos="4422"/>
        </w:tabs>
        <w:spacing w:line="520" w:lineRule="exact"/>
        <w:jc w:val="left"/>
        <w:rPr>
          <w:b/>
          <w:bCs/>
          <w:sz w:val="32"/>
          <w:szCs w:val="32"/>
        </w:rPr>
      </w:pPr>
    </w:p>
    <w:p>
      <w:pPr>
        <w:keepNext w:val="0"/>
        <w:keepLines w:val="0"/>
        <w:pageBreakBefore w:val="0"/>
        <w:widowControl/>
        <w:tabs>
          <w:tab w:val="center" w:pos="4422"/>
        </w:tabs>
        <w:spacing w:line="520" w:lineRule="exact"/>
        <w:jc w:val="left"/>
        <w:rPr>
          <w:b/>
          <w:bCs/>
          <w:sz w:val="32"/>
          <w:szCs w:val="32"/>
        </w:rPr>
      </w:pPr>
    </w:p>
    <w:p>
      <w:pPr>
        <w:keepNext w:val="0"/>
        <w:keepLines w:val="0"/>
        <w:pageBreakBefore w:val="0"/>
        <w:widowControl/>
        <w:tabs>
          <w:tab w:val="center" w:pos="4422"/>
        </w:tabs>
        <w:spacing w:line="520" w:lineRule="exact"/>
        <w:jc w:val="left"/>
        <w:rPr>
          <w:b/>
          <w:bCs/>
          <w:sz w:val="32"/>
          <w:szCs w:val="32"/>
        </w:rPr>
      </w:pPr>
    </w:p>
    <w:p>
      <w:pPr>
        <w:keepNext w:val="0"/>
        <w:keepLines w:val="0"/>
        <w:pageBreakBefore w:val="0"/>
        <w:widowControl/>
        <w:tabs>
          <w:tab w:val="center" w:pos="4422"/>
        </w:tabs>
        <w:spacing w:line="520" w:lineRule="exact"/>
        <w:jc w:val="left"/>
        <w:rPr>
          <w:b/>
          <w:bCs/>
          <w:sz w:val="32"/>
          <w:szCs w:val="32"/>
        </w:rPr>
      </w:pPr>
    </w:p>
    <w:p>
      <w:pPr>
        <w:keepNext w:val="0"/>
        <w:keepLines w:val="0"/>
        <w:pageBreakBefore w:val="0"/>
        <w:widowControl/>
        <w:tabs>
          <w:tab w:val="center" w:pos="4422"/>
        </w:tabs>
        <w:spacing w:line="520" w:lineRule="exact"/>
        <w:jc w:val="left"/>
        <w:rPr>
          <w:b/>
          <w:bCs/>
          <w:sz w:val="32"/>
          <w:szCs w:val="32"/>
        </w:rPr>
      </w:pPr>
    </w:p>
    <w:p>
      <w:pPr>
        <w:keepNext w:val="0"/>
        <w:keepLines w:val="0"/>
        <w:pageBreakBefore w:val="0"/>
        <w:widowControl/>
        <w:tabs>
          <w:tab w:val="center" w:pos="4422"/>
        </w:tabs>
        <w:spacing w:line="520" w:lineRule="exact"/>
        <w:jc w:val="left"/>
        <w:rPr>
          <w:b/>
          <w:bCs/>
          <w:sz w:val="32"/>
          <w:szCs w:val="32"/>
        </w:rPr>
      </w:pPr>
    </w:p>
    <w:p>
      <w:pPr>
        <w:keepNext w:val="0"/>
        <w:keepLines w:val="0"/>
        <w:pageBreakBefore w:val="0"/>
        <w:widowControl/>
        <w:tabs>
          <w:tab w:val="center" w:pos="4422"/>
        </w:tabs>
        <w:spacing w:line="520" w:lineRule="exact"/>
        <w:jc w:val="left"/>
        <w:rPr>
          <w:b/>
          <w:bCs/>
          <w:sz w:val="32"/>
          <w:szCs w:val="32"/>
        </w:rPr>
      </w:pPr>
    </w:p>
    <w:p>
      <w:pPr>
        <w:keepNext w:val="0"/>
        <w:keepLines w:val="0"/>
        <w:pageBreakBefore w:val="0"/>
        <w:widowControl/>
        <w:tabs>
          <w:tab w:val="center" w:pos="4422"/>
        </w:tabs>
        <w:spacing w:line="520" w:lineRule="exact"/>
        <w:jc w:val="left"/>
        <w:rPr>
          <w:b/>
          <w:bCs/>
          <w:sz w:val="32"/>
          <w:szCs w:val="32"/>
        </w:rPr>
      </w:pPr>
    </w:p>
    <w:p>
      <w:pPr>
        <w:keepNext w:val="0"/>
        <w:keepLines w:val="0"/>
        <w:pageBreakBefore w:val="0"/>
        <w:widowControl/>
        <w:tabs>
          <w:tab w:val="center" w:pos="4422"/>
        </w:tabs>
        <w:spacing w:line="520" w:lineRule="exact"/>
        <w:jc w:val="left"/>
        <w:rPr>
          <w:b/>
          <w:bCs/>
          <w:sz w:val="32"/>
          <w:szCs w:val="32"/>
        </w:rPr>
      </w:pPr>
    </w:p>
    <w:p>
      <w:pPr>
        <w:keepNext w:val="0"/>
        <w:keepLines w:val="0"/>
        <w:pageBreakBefore w:val="0"/>
        <w:widowControl/>
        <w:tabs>
          <w:tab w:val="center" w:pos="4422"/>
        </w:tabs>
        <w:spacing w:line="520" w:lineRule="exact"/>
        <w:jc w:val="left"/>
        <w:rPr>
          <w:b/>
          <w:bCs/>
          <w:sz w:val="32"/>
          <w:szCs w:val="32"/>
        </w:rPr>
      </w:pPr>
    </w:p>
    <w:p>
      <w:pPr>
        <w:keepNext w:val="0"/>
        <w:keepLines w:val="0"/>
        <w:pageBreakBefore w:val="0"/>
        <w:widowControl/>
        <w:tabs>
          <w:tab w:val="center" w:pos="4422"/>
        </w:tabs>
        <w:spacing w:line="520" w:lineRule="exact"/>
        <w:jc w:val="left"/>
        <w:rPr>
          <w:b/>
          <w:bCs/>
          <w:sz w:val="32"/>
          <w:szCs w:val="32"/>
        </w:rPr>
      </w:pPr>
    </w:p>
    <w:p>
      <w:pPr>
        <w:keepNext w:val="0"/>
        <w:keepLines w:val="0"/>
        <w:pageBreakBefore w:val="0"/>
        <w:widowControl/>
        <w:tabs>
          <w:tab w:val="center" w:pos="4422"/>
        </w:tabs>
        <w:spacing w:line="520" w:lineRule="exact"/>
        <w:jc w:val="left"/>
        <w:rPr>
          <w:b/>
          <w:bCs/>
          <w:sz w:val="32"/>
          <w:szCs w:val="32"/>
        </w:rPr>
      </w:pPr>
    </w:p>
    <w:p>
      <w:pPr>
        <w:keepNext w:val="0"/>
        <w:keepLines w:val="0"/>
        <w:pageBreakBefore w:val="0"/>
        <w:widowControl/>
        <w:tabs>
          <w:tab w:val="center" w:pos="4422"/>
        </w:tabs>
        <w:spacing w:line="520" w:lineRule="exact"/>
        <w:jc w:val="left"/>
        <w:rPr>
          <w:b/>
          <w:bCs/>
          <w:sz w:val="32"/>
          <w:szCs w:val="32"/>
        </w:rPr>
      </w:pPr>
    </w:p>
    <w:p>
      <w:pPr>
        <w:keepNext w:val="0"/>
        <w:keepLines w:val="0"/>
        <w:pageBreakBefore w:val="0"/>
        <w:widowControl/>
        <w:tabs>
          <w:tab w:val="center" w:pos="4422"/>
        </w:tabs>
        <w:spacing w:line="520" w:lineRule="exact"/>
        <w:jc w:val="left"/>
        <w:rPr>
          <w:b/>
          <w:bCs/>
          <w:sz w:val="32"/>
          <w:szCs w:val="32"/>
        </w:rPr>
      </w:pPr>
    </w:p>
    <w:p>
      <w:pPr>
        <w:keepNext w:val="0"/>
        <w:keepLines w:val="0"/>
        <w:pageBreakBefore w:val="0"/>
        <w:widowControl/>
        <w:tabs>
          <w:tab w:val="center" w:pos="4422"/>
        </w:tabs>
        <w:spacing w:line="520" w:lineRule="exact"/>
        <w:jc w:val="left"/>
        <w:rPr>
          <w:b/>
          <w:bCs/>
          <w:sz w:val="32"/>
          <w:szCs w:val="32"/>
        </w:rPr>
      </w:pPr>
    </w:p>
    <w:p>
      <w:pPr>
        <w:keepNext w:val="0"/>
        <w:keepLines w:val="0"/>
        <w:pageBreakBefore w:val="0"/>
        <w:widowControl/>
        <w:tabs>
          <w:tab w:val="center" w:pos="4422"/>
        </w:tabs>
        <w:spacing w:line="520" w:lineRule="exact"/>
        <w:jc w:val="left"/>
        <w:rPr>
          <w:b/>
          <w:bCs/>
          <w:sz w:val="32"/>
          <w:szCs w:val="32"/>
        </w:rPr>
      </w:pPr>
    </w:p>
    <w:p>
      <w:pPr>
        <w:keepNext w:val="0"/>
        <w:keepLines w:val="0"/>
        <w:pageBreakBefore w:val="0"/>
        <w:widowControl/>
        <w:tabs>
          <w:tab w:val="center" w:pos="4422"/>
        </w:tabs>
        <w:spacing w:line="520" w:lineRule="exact"/>
        <w:jc w:val="left"/>
        <w:rPr>
          <w:b/>
          <w:bCs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7530F27"/>
    <w:rsid w:val="77530F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600" w:lineRule="exact"/>
    </w:pPr>
    <w:rPr>
      <w:rFonts w:hint="default" w:ascii="Times New Roman" w:hAnsi="Times New Roman" w:eastAsia="仿宋_GB2312" w:cs="Times New Roman"/>
      <w:sz w:val="32"/>
      <w:szCs w:val="28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nhideWhenUsed/>
    <w:qFormat/>
    <w:uiPriority w:val="99"/>
    <w:pPr>
      <w:spacing w:after="120"/>
    </w:p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Office_11.8.2.12085_F1E327BC-269C-435d-A152-05C5408002CA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2026-01-26T08:02:00Z</dcterms:created>
  <dc:creator>刘嘉欣</dc:creator>
  <cp:lastModifiedBy>刘嘉欣</cp:lastModifiedBy>
  <dcterms:modified xsi:type="dcterms:W3CDTF">2026-01-26T08:02:50Z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2052-11.8.2.12085</vt:lpwstr>
  </property>
  <property fmtid="{D5CDD505-2E9C-101B-9397-08002B2CF9AE}" pid="3" name="ICV">
    <vt:lpwstr>36A037A708974DCC94A9818CA1FB7E37</vt:lpwstr>
  </property>
</Properties>
</file>