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E1" w:rsidRPr="00FB78AE" w:rsidRDefault="002A395F" w:rsidP="008F0B94">
      <w:pPr>
        <w:jc w:val="center"/>
        <w:rPr>
          <w:rFonts w:ascii="华康简标题宋" w:eastAsia="华康简标题宋"/>
          <w:bCs/>
          <w:sz w:val="44"/>
          <w:szCs w:val="44"/>
        </w:rPr>
      </w:pPr>
      <w:r w:rsidRPr="00FB78AE">
        <w:rPr>
          <w:rFonts w:ascii="华康简标题宋" w:eastAsia="华康简标题宋" w:hint="eastAsia"/>
          <w:bCs/>
          <w:sz w:val="44"/>
          <w:szCs w:val="44"/>
        </w:rPr>
        <w:t>关于</w:t>
      </w:r>
      <w:r w:rsidR="008F0B94" w:rsidRPr="00FB78AE">
        <w:rPr>
          <w:rFonts w:ascii="华康简标题宋" w:eastAsia="华康简标题宋" w:hint="eastAsia"/>
          <w:bCs/>
          <w:sz w:val="44"/>
          <w:szCs w:val="44"/>
        </w:rPr>
        <w:t>《东莞松山湖高新区知识产权资助办法》的政策解读</w:t>
      </w:r>
    </w:p>
    <w:p w:rsidR="00FB78AE" w:rsidRDefault="00FB78AE" w:rsidP="00FB78AE">
      <w:pPr>
        <w:ind w:firstLineChars="200" w:firstLine="562"/>
        <w:rPr>
          <w:b/>
          <w:bCs/>
        </w:rPr>
      </w:pPr>
    </w:p>
    <w:p w:rsidR="002A395F" w:rsidRPr="00FB78AE" w:rsidRDefault="002A395F" w:rsidP="00FB78AE">
      <w:pPr>
        <w:ind w:firstLineChars="200" w:firstLine="640"/>
        <w:rPr>
          <w:rFonts w:ascii="黑体" w:eastAsia="黑体" w:hAnsi="黑体"/>
          <w:bCs/>
          <w:sz w:val="32"/>
          <w:szCs w:val="32"/>
        </w:rPr>
      </w:pPr>
      <w:r w:rsidRPr="00FB78AE">
        <w:rPr>
          <w:rFonts w:ascii="黑体" w:eastAsia="黑体" w:hAnsi="黑体" w:hint="eastAsia"/>
          <w:bCs/>
          <w:sz w:val="32"/>
          <w:szCs w:val="32"/>
        </w:rPr>
        <w:t>一、修订背景</w:t>
      </w:r>
    </w:p>
    <w:p w:rsidR="00867E58" w:rsidRPr="00FB78AE" w:rsidRDefault="00867E58" w:rsidP="00FB78AE">
      <w:pPr>
        <w:ind w:firstLineChars="200" w:firstLine="640"/>
        <w:rPr>
          <w:rFonts w:ascii="仿宋_GB2312"/>
          <w:sz w:val="32"/>
          <w:szCs w:val="32"/>
        </w:rPr>
      </w:pPr>
      <w:r w:rsidRPr="00FB78AE">
        <w:rPr>
          <w:rFonts w:ascii="仿宋_GB2312" w:hint="eastAsia"/>
          <w:sz w:val="32"/>
          <w:szCs w:val="32"/>
        </w:rPr>
        <w:t>松山湖高新区2015年出台的</w:t>
      </w:r>
      <w:r w:rsidR="00AA4941" w:rsidRPr="00FB78AE">
        <w:rPr>
          <w:rFonts w:ascii="仿宋_GB2312" w:hint="eastAsia"/>
          <w:sz w:val="32"/>
          <w:szCs w:val="32"/>
        </w:rPr>
        <w:t>《松山湖（生态园）专利资助奖励办法（试行）》（松生〔2015〕40号）</w:t>
      </w:r>
      <w:r w:rsidR="00030A3F">
        <w:rPr>
          <w:rFonts w:ascii="仿宋_GB2312" w:hint="eastAsia"/>
          <w:sz w:val="32"/>
          <w:szCs w:val="32"/>
        </w:rPr>
        <w:t>有效期至2016年底，原有部分资助标准已不适用。</w:t>
      </w:r>
      <w:r w:rsidRPr="00FB78AE">
        <w:rPr>
          <w:rFonts w:ascii="仿宋_GB2312" w:hint="eastAsia"/>
          <w:sz w:val="32"/>
          <w:szCs w:val="32"/>
        </w:rPr>
        <w:t>为进一步加快松山湖高新区知识产权发展，</w:t>
      </w:r>
      <w:r w:rsidR="005C407C" w:rsidRPr="00FB78AE">
        <w:rPr>
          <w:rFonts w:ascii="仿宋_GB2312" w:hint="eastAsia"/>
          <w:sz w:val="32"/>
          <w:szCs w:val="32"/>
        </w:rPr>
        <w:t>扎实推进专利从高速增长转向高质量发展，推动专利适度合理增长，有效防范和坚决遏制非正常专利申请</w:t>
      </w:r>
      <w:r w:rsidRPr="00FB78AE">
        <w:rPr>
          <w:rFonts w:ascii="仿宋_GB2312" w:hint="eastAsia"/>
          <w:sz w:val="32"/>
          <w:szCs w:val="32"/>
        </w:rPr>
        <w:t>，大力实施商标品牌战略，推动制造业企业创建自有品牌，</w:t>
      </w:r>
      <w:r w:rsidR="00030A3F">
        <w:rPr>
          <w:rFonts w:ascii="仿宋_GB2312" w:hint="eastAsia"/>
          <w:sz w:val="32"/>
          <w:szCs w:val="32"/>
        </w:rPr>
        <w:t>按照“授权在先，部分资助”的要求</w:t>
      </w:r>
      <w:r w:rsidR="00030A3F" w:rsidRPr="00FB78AE">
        <w:rPr>
          <w:rFonts w:ascii="仿宋_GB2312" w:hint="eastAsia"/>
          <w:sz w:val="32"/>
          <w:szCs w:val="32"/>
        </w:rPr>
        <w:t>，</w:t>
      </w:r>
      <w:r w:rsidR="005C407C" w:rsidRPr="00FB78AE">
        <w:rPr>
          <w:rFonts w:ascii="仿宋_GB2312" w:hint="eastAsia"/>
          <w:sz w:val="32"/>
          <w:szCs w:val="32"/>
        </w:rPr>
        <w:t>以东莞市建设全国知识产权运营服务体系重点城市为契机，</w:t>
      </w:r>
      <w:r w:rsidR="00030A3F">
        <w:rPr>
          <w:rFonts w:ascii="仿宋_GB2312" w:hint="eastAsia"/>
          <w:sz w:val="32"/>
          <w:szCs w:val="32"/>
        </w:rPr>
        <w:t>以</w:t>
      </w:r>
      <w:r w:rsidR="00AA4941" w:rsidRPr="00FB78AE">
        <w:rPr>
          <w:rFonts w:ascii="仿宋_GB2312" w:hint="eastAsia"/>
          <w:sz w:val="32"/>
          <w:szCs w:val="32"/>
        </w:rPr>
        <w:t>《广东省知识产权局关于强化质量导向进一步优化专利资助政策的通知》、《东莞市专利促进项目实施办法》及《东莞市商标品牌战略专项资金管理办法》</w:t>
      </w:r>
      <w:r w:rsidR="00030A3F">
        <w:rPr>
          <w:rFonts w:ascii="仿宋_GB2312" w:hint="eastAsia"/>
          <w:sz w:val="32"/>
          <w:szCs w:val="32"/>
        </w:rPr>
        <w:t>为依据</w:t>
      </w:r>
      <w:r w:rsidR="00AA4941" w:rsidRPr="00FB78AE">
        <w:rPr>
          <w:rFonts w:ascii="仿宋_GB2312" w:hint="eastAsia"/>
          <w:sz w:val="32"/>
          <w:szCs w:val="32"/>
        </w:rPr>
        <w:t>，</w:t>
      </w:r>
      <w:r w:rsidR="00030A3F">
        <w:rPr>
          <w:rFonts w:ascii="仿宋_GB2312" w:hint="eastAsia"/>
          <w:sz w:val="32"/>
          <w:szCs w:val="32"/>
        </w:rPr>
        <w:t>出台</w:t>
      </w:r>
      <w:r w:rsidRPr="00FB78AE">
        <w:rPr>
          <w:rFonts w:ascii="仿宋_GB2312" w:hint="eastAsia"/>
          <w:sz w:val="32"/>
          <w:szCs w:val="32"/>
        </w:rPr>
        <w:t>《</w:t>
      </w:r>
      <w:r w:rsidR="005C407C" w:rsidRPr="00FB78AE">
        <w:rPr>
          <w:rFonts w:ascii="仿宋_GB2312" w:hint="eastAsia"/>
          <w:sz w:val="32"/>
          <w:szCs w:val="32"/>
        </w:rPr>
        <w:t>东莞松山湖高新区知识产权资助办法</w:t>
      </w:r>
      <w:r w:rsidRPr="00FB78AE">
        <w:rPr>
          <w:rFonts w:ascii="仿宋_GB2312" w:hint="eastAsia"/>
          <w:sz w:val="32"/>
          <w:szCs w:val="32"/>
        </w:rPr>
        <w:t>》（以下简称《</w:t>
      </w:r>
      <w:r w:rsidR="008F0B94" w:rsidRPr="00FB78AE">
        <w:rPr>
          <w:rFonts w:ascii="仿宋_GB2312" w:hint="eastAsia"/>
          <w:sz w:val="32"/>
          <w:szCs w:val="32"/>
        </w:rPr>
        <w:t>资助</w:t>
      </w:r>
      <w:r w:rsidRPr="00FB78AE">
        <w:rPr>
          <w:rFonts w:ascii="仿宋_GB2312" w:hint="eastAsia"/>
          <w:sz w:val="32"/>
          <w:szCs w:val="32"/>
        </w:rPr>
        <w:t>办法》）</w:t>
      </w:r>
      <w:r w:rsidR="005C407C" w:rsidRPr="00FB78AE">
        <w:rPr>
          <w:rFonts w:ascii="仿宋_GB2312" w:hint="eastAsia"/>
          <w:sz w:val="32"/>
          <w:szCs w:val="32"/>
        </w:rPr>
        <w:t>。</w:t>
      </w:r>
    </w:p>
    <w:p w:rsidR="002A395F" w:rsidRPr="00FB78AE" w:rsidRDefault="002A395F" w:rsidP="00AA4941">
      <w:pPr>
        <w:ind w:firstLineChars="250" w:firstLine="800"/>
        <w:rPr>
          <w:rFonts w:ascii="黑体" w:eastAsia="黑体" w:hAnsi="黑体"/>
          <w:bCs/>
          <w:sz w:val="32"/>
          <w:szCs w:val="32"/>
        </w:rPr>
      </w:pPr>
      <w:r w:rsidRPr="00FB78AE">
        <w:rPr>
          <w:rFonts w:ascii="黑体" w:eastAsia="黑体" w:hAnsi="黑体" w:hint="eastAsia"/>
          <w:bCs/>
          <w:sz w:val="32"/>
          <w:szCs w:val="32"/>
        </w:rPr>
        <w:t>二、</w:t>
      </w:r>
      <w:r w:rsidR="00A90E79" w:rsidRPr="00FB78AE">
        <w:rPr>
          <w:rFonts w:ascii="黑体" w:eastAsia="黑体" w:hAnsi="黑体" w:hint="eastAsia"/>
          <w:bCs/>
          <w:sz w:val="32"/>
          <w:szCs w:val="32"/>
        </w:rPr>
        <w:t>政策依据</w:t>
      </w:r>
    </w:p>
    <w:p w:rsidR="005424D2" w:rsidRPr="00FB78AE" w:rsidRDefault="005424D2" w:rsidP="00FB78AE">
      <w:pPr>
        <w:ind w:firstLineChars="200" w:firstLine="640"/>
        <w:rPr>
          <w:rFonts w:ascii="仿宋_GB2312"/>
          <w:sz w:val="32"/>
          <w:szCs w:val="32"/>
        </w:rPr>
      </w:pPr>
      <w:r w:rsidRPr="00FB78AE">
        <w:rPr>
          <w:rFonts w:ascii="仿宋_GB2312" w:hint="eastAsia"/>
          <w:sz w:val="32"/>
          <w:szCs w:val="32"/>
        </w:rPr>
        <w:t>《广东省知识产权局关于进一步做好国家知识产权试点示范城市相关工作的通知》、《广东省知识产权局关于强化质量导向进一步优化专利资助政策的通知》</w:t>
      </w:r>
      <w:r w:rsidR="002D458A" w:rsidRPr="00FB78AE">
        <w:rPr>
          <w:rFonts w:ascii="仿宋_GB2312" w:hint="eastAsia"/>
          <w:sz w:val="32"/>
          <w:szCs w:val="32"/>
        </w:rPr>
        <w:t>、《广东省专利奖励办法》</w:t>
      </w:r>
      <w:r w:rsidRPr="00FB78AE">
        <w:rPr>
          <w:rFonts w:ascii="仿宋_GB2312" w:hint="eastAsia"/>
          <w:sz w:val="32"/>
          <w:szCs w:val="32"/>
        </w:rPr>
        <w:t>、《东莞市商标品牌战略专项资金管理办法》</w:t>
      </w:r>
      <w:r w:rsidR="00CF0B88" w:rsidRPr="00FB78AE">
        <w:rPr>
          <w:rFonts w:ascii="仿宋_GB2312" w:hint="eastAsia"/>
          <w:sz w:val="32"/>
          <w:szCs w:val="32"/>
        </w:rPr>
        <w:t>、《东莞市专利促进项目实施办法》</w:t>
      </w:r>
      <w:r w:rsidRPr="00FB78AE">
        <w:rPr>
          <w:rFonts w:ascii="仿宋_GB2312" w:hint="eastAsia"/>
          <w:sz w:val="32"/>
          <w:szCs w:val="32"/>
        </w:rPr>
        <w:t>等。</w:t>
      </w:r>
    </w:p>
    <w:p w:rsidR="002A395F" w:rsidRPr="00FB78AE" w:rsidRDefault="002A395F" w:rsidP="00FB78AE">
      <w:pPr>
        <w:ind w:firstLineChars="200" w:firstLine="640"/>
        <w:rPr>
          <w:rFonts w:ascii="黑体" w:eastAsia="黑体" w:hAnsi="黑体"/>
          <w:bCs/>
          <w:sz w:val="32"/>
          <w:szCs w:val="32"/>
        </w:rPr>
      </w:pPr>
      <w:r w:rsidRPr="00FB78AE">
        <w:rPr>
          <w:rFonts w:ascii="黑体" w:eastAsia="黑体" w:hAnsi="黑体" w:hint="eastAsia"/>
          <w:bCs/>
          <w:sz w:val="32"/>
          <w:szCs w:val="32"/>
        </w:rPr>
        <w:lastRenderedPageBreak/>
        <w:t>三、主要内容</w:t>
      </w:r>
    </w:p>
    <w:p w:rsidR="002A395F" w:rsidRPr="00621E84" w:rsidRDefault="008F0B94" w:rsidP="00621E84">
      <w:pPr>
        <w:spacing w:line="640" w:lineRule="exact"/>
        <w:ind w:firstLineChars="200" w:firstLine="640"/>
        <w:rPr>
          <w:sz w:val="32"/>
          <w:szCs w:val="32"/>
        </w:rPr>
      </w:pPr>
      <w:r w:rsidRPr="00FB78AE">
        <w:rPr>
          <w:rFonts w:ascii="仿宋_GB2312" w:hint="eastAsia"/>
          <w:sz w:val="32"/>
          <w:szCs w:val="32"/>
        </w:rPr>
        <w:t>《资助办法》）分为六章，共</w:t>
      </w:r>
      <w:r w:rsidR="00006B1C">
        <w:rPr>
          <w:rFonts w:ascii="仿宋_GB2312" w:hint="eastAsia"/>
          <w:sz w:val="32"/>
          <w:szCs w:val="32"/>
        </w:rPr>
        <w:t>二十</w:t>
      </w:r>
      <w:r w:rsidR="00621E84">
        <w:rPr>
          <w:rFonts w:ascii="仿宋_GB2312" w:hint="eastAsia"/>
          <w:sz w:val="32"/>
          <w:szCs w:val="32"/>
        </w:rPr>
        <w:t>一</w:t>
      </w:r>
      <w:r w:rsidRPr="00FB78AE">
        <w:rPr>
          <w:rFonts w:ascii="仿宋_GB2312" w:hint="eastAsia"/>
          <w:sz w:val="32"/>
          <w:szCs w:val="32"/>
        </w:rPr>
        <w:t>条，</w:t>
      </w:r>
      <w:r w:rsidR="004A79E4" w:rsidRPr="00FB78AE">
        <w:rPr>
          <w:rFonts w:ascii="仿宋_GB2312" w:hint="eastAsia"/>
          <w:sz w:val="32"/>
          <w:szCs w:val="32"/>
        </w:rPr>
        <w:t>包括对</w:t>
      </w:r>
      <w:r w:rsidR="00621E84" w:rsidRPr="00C00828">
        <w:rPr>
          <w:rFonts w:ascii="仿宋_GB2312" w:hint="eastAsia"/>
          <w:sz w:val="32"/>
          <w:szCs w:val="32"/>
        </w:rPr>
        <w:t>境外商标注册资助</w:t>
      </w:r>
      <w:r w:rsidR="00621E84">
        <w:rPr>
          <w:rFonts w:ascii="仿宋_GB2312" w:hint="eastAsia"/>
          <w:sz w:val="32"/>
          <w:szCs w:val="32"/>
        </w:rPr>
        <w:t>项目，</w:t>
      </w:r>
      <w:r w:rsidR="00621E84">
        <w:rPr>
          <w:rFonts w:ascii="仿宋_GB2312" w:hint="eastAsia"/>
          <w:color w:val="000000"/>
          <w:sz w:val="32"/>
          <w:szCs w:val="32"/>
        </w:rPr>
        <w:t>专利奖、商标奖奖励项目，</w:t>
      </w:r>
      <w:proofErr w:type="gramStart"/>
      <w:r w:rsidR="00621E84">
        <w:rPr>
          <w:rFonts w:ascii="仿宋_GB2312" w:hint="eastAsia"/>
          <w:color w:val="000000"/>
          <w:sz w:val="32"/>
          <w:szCs w:val="32"/>
        </w:rPr>
        <w:t>知识产权强企培育</w:t>
      </w:r>
      <w:proofErr w:type="gramEnd"/>
      <w:r w:rsidR="00621E84">
        <w:rPr>
          <w:rFonts w:ascii="仿宋_GB2312" w:hint="eastAsia"/>
          <w:color w:val="000000"/>
          <w:sz w:val="32"/>
          <w:szCs w:val="32"/>
        </w:rPr>
        <w:t>项目，专利代理机构办公场地租金资助项目，</w:t>
      </w:r>
      <w:r w:rsidR="00621E84">
        <w:rPr>
          <w:rFonts w:ascii="仿宋_GB2312" w:hAnsi="宋体" w:cs="宋体" w:hint="eastAsia"/>
          <w:kern w:val="0"/>
          <w:sz w:val="32"/>
          <w:szCs w:val="32"/>
        </w:rPr>
        <w:t>专利代理机构代理奖励项目，</w:t>
      </w:r>
      <w:r w:rsidR="00621E84" w:rsidRPr="00157824">
        <w:rPr>
          <w:rFonts w:ascii="Times New Roman" w:hAnsi="Times New Roman"/>
          <w:sz w:val="32"/>
          <w:szCs w:val="32"/>
        </w:rPr>
        <w:t>知识产权</w:t>
      </w:r>
      <w:r w:rsidR="00621E84">
        <w:rPr>
          <w:rFonts w:ascii="Times New Roman" w:hAnsi="Times New Roman" w:hint="eastAsia"/>
          <w:sz w:val="32"/>
          <w:szCs w:val="32"/>
        </w:rPr>
        <w:t>服务资助项目，专利保险资助项目，</w:t>
      </w:r>
      <w:r w:rsidR="00621E84" w:rsidRPr="00C00828">
        <w:rPr>
          <w:rFonts w:hint="eastAsia"/>
          <w:sz w:val="32"/>
          <w:szCs w:val="32"/>
        </w:rPr>
        <w:t>知识产权保护</w:t>
      </w:r>
      <w:r w:rsidR="00621E84">
        <w:rPr>
          <w:rFonts w:hint="eastAsia"/>
          <w:sz w:val="32"/>
          <w:szCs w:val="32"/>
        </w:rPr>
        <w:t>资助</w:t>
      </w:r>
      <w:r w:rsidR="00621E84" w:rsidRPr="00C00828">
        <w:rPr>
          <w:rFonts w:hint="eastAsia"/>
          <w:sz w:val="32"/>
          <w:szCs w:val="32"/>
        </w:rPr>
        <w:t>项目</w:t>
      </w:r>
      <w:r w:rsidR="004A79E4" w:rsidRPr="00FB78AE">
        <w:rPr>
          <w:rFonts w:ascii="仿宋_GB2312" w:hint="eastAsia"/>
          <w:sz w:val="32"/>
          <w:szCs w:val="32"/>
        </w:rPr>
        <w:t>等</w:t>
      </w:r>
      <w:r w:rsidR="00C268B4">
        <w:rPr>
          <w:rFonts w:ascii="仿宋_GB2312" w:hint="eastAsia"/>
          <w:sz w:val="32"/>
          <w:szCs w:val="32"/>
        </w:rPr>
        <w:t>八</w:t>
      </w:r>
      <w:r w:rsidR="004A79E4" w:rsidRPr="00FB78AE">
        <w:rPr>
          <w:rFonts w:ascii="仿宋_GB2312" w:hint="eastAsia"/>
          <w:sz w:val="32"/>
          <w:szCs w:val="32"/>
        </w:rPr>
        <w:t>类项目的具体资助对象及条件、标准和申请流程的规定</w:t>
      </w:r>
      <w:r w:rsidR="005446BA" w:rsidRPr="00FB78AE">
        <w:rPr>
          <w:rFonts w:ascii="仿宋_GB2312" w:hint="eastAsia"/>
          <w:sz w:val="32"/>
          <w:szCs w:val="32"/>
        </w:rPr>
        <w:t>。主要内容包括如下：</w:t>
      </w:r>
    </w:p>
    <w:p w:rsidR="00FD0837" w:rsidRPr="00621E84" w:rsidRDefault="00030A3F" w:rsidP="00621E84">
      <w:pPr>
        <w:ind w:firstLineChars="200" w:firstLine="643"/>
        <w:rPr>
          <w:rFonts w:ascii="仿宋_GB2312"/>
          <w:sz w:val="32"/>
          <w:szCs w:val="32"/>
        </w:rPr>
      </w:pPr>
      <w:r>
        <w:rPr>
          <w:rFonts w:ascii="楷体_GB2312" w:eastAsia="楷体_GB2312" w:hint="eastAsia"/>
          <w:b/>
          <w:bCs/>
          <w:sz w:val="32"/>
          <w:szCs w:val="32"/>
        </w:rPr>
        <w:t>（一）</w:t>
      </w:r>
      <w:r w:rsidR="00FD0837" w:rsidRPr="00105C07">
        <w:rPr>
          <w:rFonts w:ascii="楷体_GB2312" w:eastAsia="楷体_GB2312" w:hint="eastAsia"/>
          <w:b/>
          <w:bCs/>
          <w:sz w:val="32"/>
          <w:szCs w:val="32"/>
        </w:rPr>
        <w:t>鼓励境外商标注册</w:t>
      </w:r>
    </w:p>
    <w:p w:rsidR="00FD0837" w:rsidRPr="00FB78AE" w:rsidRDefault="001526FD" w:rsidP="00FB78AE">
      <w:pPr>
        <w:ind w:firstLineChars="200" w:firstLine="640"/>
        <w:rPr>
          <w:rFonts w:ascii="仿宋_GB2312"/>
          <w:sz w:val="32"/>
          <w:szCs w:val="32"/>
        </w:rPr>
      </w:pPr>
      <w:r w:rsidRPr="00FB78AE">
        <w:rPr>
          <w:rFonts w:ascii="仿宋_GB2312" w:hint="eastAsia"/>
          <w:sz w:val="32"/>
          <w:szCs w:val="32"/>
        </w:rPr>
        <w:t>1.通过马德里体系取得注册的，每件最高资助不超过商标注册官费的30%（按成功注册国家计算），最高不超过25,000元。</w:t>
      </w:r>
    </w:p>
    <w:p w:rsidR="001526FD" w:rsidRPr="00FB78AE" w:rsidRDefault="001526FD" w:rsidP="00FB78AE">
      <w:pPr>
        <w:ind w:firstLineChars="200" w:firstLine="640"/>
        <w:rPr>
          <w:rFonts w:ascii="仿宋_GB2312"/>
          <w:sz w:val="32"/>
          <w:szCs w:val="32"/>
        </w:rPr>
      </w:pPr>
      <w:r w:rsidRPr="00FB78AE">
        <w:rPr>
          <w:rFonts w:ascii="仿宋_GB2312" w:hint="eastAsia"/>
          <w:sz w:val="32"/>
          <w:szCs w:val="32"/>
        </w:rPr>
        <w:t>2.在欧盟或非洲知识产权组织取得注册的，每件资助</w:t>
      </w:r>
      <w:r w:rsidR="002561C1">
        <w:rPr>
          <w:rFonts w:ascii="仿宋_GB2312" w:hint="eastAsia"/>
          <w:sz w:val="32"/>
          <w:szCs w:val="32"/>
        </w:rPr>
        <w:t>5</w:t>
      </w:r>
      <w:bookmarkStart w:id="0" w:name="_GoBack"/>
      <w:bookmarkEnd w:id="0"/>
      <w:r w:rsidRPr="00FB78AE">
        <w:rPr>
          <w:rFonts w:ascii="仿宋_GB2312" w:hint="eastAsia"/>
          <w:sz w:val="32"/>
          <w:szCs w:val="32"/>
        </w:rPr>
        <w:t>000元。</w:t>
      </w:r>
    </w:p>
    <w:p w:rsidR="001526FD" w:rsidRPr="00FB78AE" w:rsidRDefault="001526FD" w:rsidP="00FB78AE">
      <w:pPr>
        <w:ind w:firstLineChars="200" w:firstLine="640"/>
        <w:rPr>
          <w:rFonts w:ascii="仿宋_GB2312"/>
          <w:sz w:val="32"/>
          <w:szCs w:val="32"/>
        </w:rPr>
      </w:pPr>
      <w:r w:rsidRPr="00FB78AE">
        <w:rPr>
          <w:rFonts w:ascii="仿宋_GB2312" w:hint="eastAsia"/>
          <w:sz w:val="32"/>
          <w:szCs w:val="32"/>
        </w:rPr>
        <w:t>3.在单一国家、台湾、香港和澳门地区取得注册的，每件资助1000元。</w:t>
      </w:r>
    </w:p>
    <w:p w:rsidR="001526FD" w:rsidRPr="00FB78AE" w:rsidRDefault="001526FD" w:rsidP="00FB78AE">
      <w:pPr>
        <w:ind w:firstLineChars="200" w:firstLine="640"/>
        <w:rPr>
          <w:rFonts w:ascii="仿宋_GB2312"/>
          <w:sz w:val="32"/>
          <w:szCs w:val="32"/>
        </w:rPr>
      </w:pPr>
      <w:r w:rsidRPr="00FB78AE">
        <w:rPr>
          <w:rFonts w:ascii="仿宋_GB2312" w:hint="eastAsia"/>
          <w:sz w:val="32"/>
          <w:szCs w:val="32"/>
        </w:rPr>
        <w:t>4.实行最高资助额限制，同一件商标资助总额不超过50000元。</w:t>
      </w:r>
    </w:p>
    <w:p w:rsidR="00FD0837" w:rsidRPr="00FB78AE" w:rsidRDefault="00621E84" w:rsidP="00FB78AE">
      <w:pPr>
        <w:ind w:firstLineChars="200" w:firstLine="643"/>
        <w:rPr>
          <w:rFonts w:ascii="仿宋_GB2312"/>
          <w:b/>
          <w:bCs/>
          <w:sz w:val="32"/>
          <w:szCs w:val="32"/>
        </w:rPr>
      </w:pPr>
      <w:r w:rsidRPr="00105C07">
        <w:rPr>
          <w:rFonts w:ascii="楷体_GB2312" w:eastAsia="楷体_GB2312" w:hint="eastAsia"/>
          <w:b/>
          <w:bCs/>
          <w:sz w:val="32"/>
          <w:szCs w:val="32"/>
        </w:rPr>
        <w:t>（二）</w:t>
      </w:r>
      <w:r w:rsidR="00FD0837" w:rsidRPr="00105C07">
        <w:rPr>
          <w:rFonts w:ascii="楷体_GB2312" w:eastAsia="楷体_GB2312" w:hint="eastAsia"/>
          <w:b/>
          <w:bCs/>
          <w:sz w:val="32"/>
          <w:szCs w:val="32"/>
        </w:rPr>
        <w:t>完善专利奖、商标奖奖励</w:t>
      </w:r>
    </w:p>
    <w:p w:rsidR="00FD0837" w:rsidRPr="00FB78AE" w:rsidRDefault="00B43677" w:rsidP="00FB78AE">
      <w:pPr>
        <w:ind w:firstLineChars="200" w:firstLine="640"/>
        <w:rPr>
          <w:rFonts w:ascii="仿宋_GB2312"/>
          <w:sz w:val="32"/>
          <w:szCs w:val="32"/>
        </w:rPr>
      </w:pPr>
      <w:r w:rsidRPr="00FB78AE">
        <w:rPr>
          <w:rFonts w:ascii="仿宋_GB2312" w:hint="eastAsia"/>
          <w:sz w:val="32"/>
          <w:szCs w:val="32"/>
        </w:rPr>
        <w:t>1.</w:t>
      </w:r>
      <w:r w:rsidR="005223E8" w:rsidRPr="00FB78AE">
        <w:rPr>
          <w:rFonts w:ascii="仿宋_GB2312" w:hint="eastAsia"/>
          <w:sz w:val="32"/>
          <w:szCs w:val="32"/>
        </w:rPr>
        <w:t>重奖高含金量专利技术，</w:t>
      </w:r>
      <w:r w:rsidRPr="00FB78AE">
        <w:rPr>
          <w:rFonts w:ascii="仿宋_GB2312" w:hint="eastAsia"/>
          <w:sz w:val="32"/>
          <w:szCs w:val="32"/>
        </w:rPr>
        <w:t>对获得国家专利金奖（含外观设计金奖）、专利银奖（含外观设计银奖）和专利优秀奖（含外观设计优秀奖）的项目，分别奖励100万元、15万元和5万元；对获得省专利金奖、专利银奖、专利优秀奖和杰</w:t>
      </w:r>
      <w:r w:rsidRPr="00FB78AE">
        <w:rPr>
          <w:rFonts w:ascii="仿宋_GB2312" w:hint="eastAsia"/>
          <w:sz w:val="32"/>
          <w:szCs w:val="32"/>
        </w:rPr>
        <w:lastRenderedPageBreak/>
        <w:t>出发明人奖的项目，分别奖励15万元、10万元、5万元和5万元。</w:t>
      </w:r>
    </w:p>
    <w:p w:rsidR="00B43677" w:rsidRPr="00FB78AE" w:rsidRDefault="00B43677" w:rsidP="00FB78AE">
      <w:pPr>
        <w:ind w:firstLineChars="200" w:firstLine="640"/>
        <w:rPr>
          <w:rFonts w:ascii="仿宋_GB2312"/>
          <w:sz w:val="32"/>
          <w:szCs w:val="32"/>
        </w:rPr>
      </w:pPr>
      <w:r w:rsidRPr="00FB78AE">
        <w:rPr>
          <w:rFonts w:ascii="仿宋_GB2312" w:hint="eastAsia"/>
          <w:sz w:val="32"/>
          <w:szCs w:val="32"/>
        </w:rPr>
        <w:t>2.</w:t>
      </w:r>
      <w:r w:rsidR="005223E8" w:rsidRPr="00FB78AE">
        <w:rPr>
          <w:rFonts w:ascii="仿宋_GB2312" w:hint="eastAsia"/>
          <w:sz w:val="32"/>
          <w:szCs w:val="32"/>
        </w:rPr>
        <w:t>重奖高含金量商标品牌，</w:t>
      </w:r>
      <w:r w:rsidRPr="00FB78AE">
        <w:rPr>
          <w:rFonts w:ascii="仿宋_GB2312" w:hint="eastAsia"/>
          <w:sz w:val="32"/>
          <w:szCs w:val="32"/>
        </w:rPr>
        <w:t>对获评中国商标金奖的，对中国商标金奖中的商标创新奖、商标运用奖、马德里商标国际注册特别奖的获得者资助100万元；商标保护奖获得单位资助50万元，若获得者为个人资助10万元。</w:t>
      </w:r>
    </w:p>
    <w:p w:rsidR="00B43677" w:rsidRPr="00105C07" w:rsidRDefault="00B43677" w:rsidP="00FB78AE">
      <w:pPr>
        <w:ind w:firstLineChars="200" w:firstLine="643"/>
        <w:rPr>
          <w:rFonts w:ascii="楷体_GB2312" w:eastAsia="楷体_GB2312"/>
          <w:b/>
          <w:bCs/>
          <w:sz w:val="32"/>
          <w:szCs w:val="32"/>
        </w:rPr>
      </w:pPr>
      <w:r w:rsidRPr="00105C07">
        <w:rPr>
          <w:rFonts w:ascii="楷体_GB2312" w:eastAsia="楷体_GB2312" w:hint="eastAsia"/>
          <w:b/>
          <w:bCs/>
          <w:sz w:val="32"/>
          <w:szCs w:val="32"/>
        </w:rPr>
        <w:t>（</w:t>
      </w:r>
      <w:r w:rsidR="00621E84">
        <w:rPr>
          <w:rFonts w:ascii="楷体_GB2312" w:eastAsia="楷体_GB2312" w:hint="eastAsia"/>
          <w:b/>
          <w:bCs/>
          <w:sz w:val="32"/>
          <w:szCs w:val="32"/>
        </w:rPr>
        <w:t>三</w:t>
      </w:r>
      <w:r w:rsidRPr="00105C07">
        <w:rPr>
          <w:rFonts w:ascii="楷体_GB2312" w:eastAsia="楷体_GB2312" w:hint="eastAsia"/>
          <w:b/>
          <w:bCs/>
          <w:sz w:val="32"/>
          <w:szCs w:val="32"/>
        </w:rPr>
        <w:t>）</w:t>
      </w:r>
      <w:r w:rsidR="000473C9" w:rsidRPr="00105C07">
        <w:rPr>
          <w:rFonts w:ascii="楷体_GB2312" w:eastAsia="楷体_GB2312" w:hint="eastAsia"/>
          <w:b/>
          <w:bCs/>
          <w:sz w:val="32"/>
          <w:szCs w:val="32"/>
        </w:rPr>
        <w:t>大力支持</w:t>
      </w:r>
      <w:proofErr w:type="gramStart"/>
      <w:r w:rsidR="000473C9" w:rsidRPr="00105C07">
        <w:rPr>
          <w:rFonts w:ascii="楷体_GB2312" w:eastAsia="楷体_GB2312" w:hint="eastAsia"/>
          <w:b/>
          <w:bCs/>
          <w:sz w:val="32"/>
          <w:szCs w:val="32"/>
        </w:rPr>
        <w:t>知识产权强企培育</w:t>
      </w:r>
      <w:proofErr w:type="gramEnd"/>
    </w:p>
    <w:p w:rsidR="002523E9" w:rsidRPr="00FB78AE" w:rsidRDefault="002523E9" w:rsidP="00FB78AE">
      <w:pPr>
        <w:ind w:firstLineChars="200" w:firstLine="640"/>
        <w:rPr>
          <w:rFonts w:ascii="仿宋_GB2312"/>
          <w:sz w:val="32"/>
          <w:szCs w:val="32"/>
        </w:rPr>
      </w:pPr>
      <w:r w:rsidRPr="00FB78AE">
        <w:rPr>
          <w:rFonts w:ascii="仿宋_GB2312" w:hint="eastAsia"/>
          <w:sz w:val="32"/>
          <w:szCs w:val="32"/>
        </w:rPr>
        <w:t>1.降低知识产权贯标资助金额，对首次符合知识产权管理规范贯标资助条件的企业、省级新型研发机构和高校院所，每家一次性资助5万元。</w:t>
      </w:r>
    </w:p>
    <w:p w:rsidR="002523E9" w:rsidRPr="00FB78AE" w:rsidRDefault="002523E9" w:rsidP="00FB78AE">
      <w:pPr>
        <w:ind w:firstLineChars="200" w:firstLine="640"/>
        <w:rPr>
          <w:rFonts w:ascii="仿宋_GB2312"/>
          <w:sz w:val="32"/>
          <w:szCs w:val="32"/>
        </w:rPr>
      </w:pPr>
      <w:r w:rsidRPr="00FB78AE">
        <w:rPr>
          <w:rFonts w:ascii="仿宋_GB2312" w:hint="eastAsia"/>
          <w:sz w:val="32"/>
          <w:szCs w:val="32"/>
        </w:rPr>
        <w:t>2.实行</w:t>
      </w:r>
      <w:r w:rsidR="00F73CE9" w:rsidRPr="00FB78AE">
        <w:rPr>
          <w:rFonts w:ascii="仿宋_GB2312" w:hint="eastAsia"/>
          <w:sz w:val="32"/>
          <w:szCs w:val="32"/>
        </w:rPr>
        <w:t>从高不重复原则</w:t>
      </w:r>
      <w:r w:rsidRPr="00FB78AE">
        <w:rPr>
          <w:rFonts w:ascii="仿宋_GB2312" w:hint="eastAsia"/>
          <w:sz w:val="32"/>
          <w:szCs w:val="32"/>
        </w:rPr>
        <w:t>，对获</w:t>
      </w:r>
      <w:proofErr w:type="gramStart"/>
      <w:r w:rsidRPr="00FB78AE">
        <w:rPr>
          <w:rFonts w:ascii="仿宋_GB2312" w:hint="eastAsia"/>
          <w:sz w:val="32"/>
          <w:szCs w:val="32"/>
        </w:rPr>
        <w:t>批国家</w:t>
      </w:r>
      <w:proofErr w:type="gramEnd"/>
      <w:r w:rsidRPr="00FB78AE">
        <w:rPr>
          <w:rFonts w:ascii="仿宋_GB2312" w:hint="eastAsia"/>
          <w:sz w:val="32"/>
          <w:szCs w:val="32"/>
        </w:rPr>
        <w:t>知识产权示范企业、优势企业的，分别一次性给予每家15万元、10万元的奖励；对</w:t>
      </w:r>
      <w:proofErr w:type="gramStart"/>
      <w:r w:rsidRPr="00FB78AE">
        <w:rPr>
          <w:rFonts w:ascii="仿宋_GB2312" w:hint="eastAsia"/>
          <w:sz w:val="32"/>
          <w:szCs w:val="32"/>
        </w:rPr>
        <w:t>获批省知识产权</w:t>
      </w:r>
      <w:proofErr w:type="gramEnd"/>
      <w:r w:rsidRPr="00FB78AE">
        <w:rPr>
          <w:rFonts w:ascii="仿宋_GB2312" w:hint="eastAsia"/>
          <w:sz w:val="32"/>
          <w:szCs w:val="32"/>
        </w:rPr>
        <w:t>示范企业一次性给予每家10万元的奖励；对首次获批东莞市知识产权优势企业的，每家一次性资助5万元；同</w:t>
      </w:r>
      <w:proofErr w:type="gramStart"/>
      <w:r w:rsidRPr="00FB78AE">
        <w:rPr>
          <w:rFonts w:ascii="仿宋_GB2312" w:hint="eastAsia"/>
          <w:sz w:val="32"/>
          <w:szCs w:val="32"/>
        </w:rPr>
        <w:t>一年度获</w:t>
      </w:r>
      <w:proofErr w:type="gramEnd"/>
      <w:r w:rsidRPr="00FB78AE">
        <w:rPr>
          <w:rFonts w:ascii="仿宋_GB2312" w:hint="eastAsia"/>
          <w:sz w:val="32"/>
          <w:szCs w:val="32"/>
        </w:rPr>
        <w:t>多项奖励的，以单项最高金额给予奖励，不重复奖励。</w:t>
      </w:r>
    </w:p>
    <w:p w:rsidR="003C4BE1" w:rsidRPr="00FB78AE" w:rsidRDefault="000D6A0D" w:rsidP="00FB78AE">
      <w:pPr>
        <w:ind w:firstLineChars="200" w:firstLine="643"/>
        <w:rPr>
          <w:rFonts w:ascii="仿宋_GB2312"/>
          <w:b/>
          <w:bCs/>
          <w:sz w:val="32"/>
          <w:szCs w:val="32"/>
        </w:rPr>
      </w:pPr>
      <w:r w:rsidRPr="00FB78AE">
        <w:rPr>
          <w:rFonts w:ascii="仿宋_GB2312" w:hint="eastAsia"/>
          <w:b/>
          <w:bCs/>
          <w:sz w:val="32"/>
          <w:szCs w:val="32"/>
        </w:rPr>
        <w:t>（</w:t>
      </w:r>
      <w:r w:rsidR="00621E84">
        <w:rPr>
          <w:rFonts w:ascii="仿宋_GB2312" w:hint="eastAsia"/>
          <w:b/>
          <w:bCs/>
          <w:sz w:val="32"/>
          <w:szCs w:val="32"/>
        </w:rPr>
        <w:t>四</w:t>
      </w:r>
      <w:r w:rsidRPr="00FB78AE">
        <w:rPr>
          <w:rFonts w:ascii="仿宋_GB2312" w:hint="eastAsia"/>
          <w:b/>
          <w:bCs/>
          <w:sz w:val="32"/>
          <w:szCs w:val="32"/>
        </w:rPr>
        <w:t>）鼓励专利代理机构</w:t>
      </w:r>
      <w:r w:rsidR="00BA4FF9" w:rsidRPr="00FB78AE">
        <w:rPr>
          <w:rFonts w:ascii="仿宋_GB2312" w:hint="eastAsia"/>
          <w:b/>
          <w:bCs/>
          <w:sz w:val="32"/>
          <w:szCs w:val="32"/>
        </w:rPr>
        <w:t>入驻园区</w:t>
      </w:r>
    </w:p>
    <w:p w:rsidR="00BA4FF9" w:rsidRDefault="00BA4FF9" w:rsidP="00FB78AE">
      <w:pPr>
        <w:ind w:firstLineChars="200" w:firstLine="640"/>
        <w:rPr>
          <w:rFonts w:ascii="仿宋_GB2312"/>
          <w:sz w:val="32"/>
          <w:szCs w:val="32"/>
        </w:rPr>
      </w:pPr>
      <w:r w:rsidRPr="00FB78AE">
        <w:rPr>
          <w:rFonts w:ascii="仿宋_GB2312" w:hint="eastAsia"/>
          <w:sz w:val="32"/>
          <w:szCs w:val="32"/>
        </w:rPr>
        <w:t>提高办公场地租金资助比例，限定每月最高资助额度</w:t>
      </w:r>
      <w:r w:rsidR="00531679" w:rsidRPr="00FB78AE">
        <w:rPr>
          <w:rFonts w:ascii="仿宋_GB2312" w:hint="eastAsia"/>
          <w:sz w:val="32"/>
          <w:szCs w:val="32"/>
        </w:rPr>
        <w:t>。对园区新入驻的取得国家备案资格的专利代理机构（含分支机构），按实际缴纳办公场地租金的一半给予资助，每月最高资助6000元。</w:t>
      </w:r>
    </w:p>
    <w:p w:rsidR="00006B1C" w:rsidRDefault="00006B1C" w:rsidP="00006B1C">
      <w:pPr>
        <w:widowControl/>
        <w:spacing w:line="600" w:lineRule="atLeast"/>
        <w:ind w:firstLine="640"/>
        <w:jc w:val="left"/>
        <w:rPr>
          <w:rFonts w:ascii="仿宋_GB2312"/>
          <w:b/>
          <w:bCs/>
          <w:sz w:val="32"/>
          <w:szCs w:val="32"/>
        </w:rPr>
      </w:pPr>
      <w:r w:rsidRPr="00FB78AE">
        <w:rPr>
          <w:rFonts w:ascii="仿宋_GB2312" w:hint="eastAsia"/>
          <w:b/>
          <w:bCs/>
          <w:sz w:val="32"/>
          <w:szCs w:val="32"/>
        </w:rPr>
        <w:t>（</w:t>
      </w:r>
      <w:r w:rsidR="00621E84">
        <w:rPr>
          <w:rFonts w:ascii="仿宋_GB2312" w:hint="eastAsia"/>
          <w:b/>
          <w:bCs/>
          <w:sz w:val="32"/>
          <w:szCs w:val="32"/>
        </w:rPr>
        <w:t>五</w:t>
      </w:r>
      <w:r w:rsidRPr="00FB78AE">
        <w:rPr>
          <w:rFonts w:ascii="仿宋_GB2312" w:hint="eastAsia"/>
          <w:b/>
          <w:bCs/>
          <w:sz w:val="32"/>
          <w:szCs w:val="32"/>
        </w:rPr>
        <w:t>）</w:t>
      </w:r>
      <w:r>
        <w:rPr>
          <w:rFonts w:ascii="仿宋_GB2312" w:hint="eastAsia"/>
          <w:b/>
          <w:bCs/>
          <w:sz w:val="32"/>
          <w:szCs w:val="32"/>
        </w:rPr>
        <w:t>鼓励园区专利代理机构促进专利申请</w:t>
      </w:r>
    </w:p>
    <w:p w:rsidR="00006B1C" w:rsidRDefault="00006B1C" w:rsidP="00006B1C">
      <w:pPr>
        <w:widowControl/>
        <w:spacing w:line="600" w:lineRule="atLeast"/>
        <w:ind w:firstLine="640"/>
        <w:jc w:val="left"/>
        <w:rPr>
          <w:rFonts w:ascii="仿宋_GB2312" w:hAnsi="宋体" w:cs="宋体"/>
          <w:kern w:val="0"/>
          <w:sz w:val="32"/>
          <w:szCs w:val="32"/>
        </w:rPr>
      </w:pPr>
      <w:r>
        <w:rPr>
          <w:rFonts w:ascii="仿宋_GB2312" w:hint="eastAsia"/>
          <w:sz w:val="32"/>
          <w:szCs w:val="32"/>
        </w:rPr>
        <w:lastRenderedPageBreak/>
        <w:t>对园区专利代理</w:t>
      </w:r>
      <w:r>
        <w:rPr>
          <w:rFonts w:ascii="仿宋_GB2312" w:hAnsi="宋体" w:cs="宋体" w:hint="eastAsia"/>
          <w:kern w:val="0"/>
          <w:sz w:val="32"/>
          <w:szCs w:val="32"/>
        </w:rPr>
        <w:t>机构代理以松山湖地址申请，获得授权的发明专利，每件奖励</w:t>
      </w:r>
      <w:r>
        <w:rPr>
          <w:rFonts w:ascii="仿宋_GB2312" w:hAnsi="宋体" w:cs="宋体"/>
          <w:kern w:val="0"/>
          <w:sz w:val="32"/>
          <w:szCs w:val="32"/>
        </w:rPr>
        <w:t>1000</w:t>
      </w:r>
      <w:r>
        <w:rPr>
          <w:rFonts w:ascii="仿宋_GB2312" w:hAnsi="宋体" w:cs="宋体" w:hint="eastAsia"/>
          <w:kern w:val="0"/>
          <w:sz w:val="32"/>
          <w:szCs w:val="32"/>
        </w:rPr>
        <w:t>元，每家机构年度累计奖励总额最高不超过5</w:t>
      </w:r>
      <w:r>
        <w:rPr>
          <w:rFonts w:ascii="仿宋_GB2312" w:hAnsi="宋体" w:cs="宋体"/>
          <w:kern w:val="0"/>
          <w:sz w:val="32"/>
          <w:szCs w:val="32"/>
        </w:rPr>
        <w:t>0</w:t>
      </w:r>
      <w:r>
        <w:rPr>
          <w:rFonts w:ascii="仿宋_GB2312" w:hAnsi="宋体" w:cs="宋体" w:hint="eastAsia"/>
          <w:kern w:val="0"/>
          <w:sz w:val="32"/>
          <w:szCs w:val="32"/>
        </w:rPr>
        <w:t>万元。</w:t>
      </w:r>
    </w:p>
    <w:p w:rsidR="00006B1C" w:rsidRDefault="00006B1C" w:rsidP="00006B1C">
      <w:pPr>
        <w:spacing w:line="600" w:lineRule="exact"/>
        <w:ind w:firstLineChars="200" w:firstLine="643"/>
        <w:rPr>
          <w:rFonts w:ascii="Times New Roman" w:hAnsi="Times New Roman"/>
          <w:b/>
          <w:sz w:val="32"/>
          <w:szCs w:val="32"/>
        </w:rPr>
      </w:pPr>
      <w:r w:rsidRPr="00FB78AE">
        <w:rPr>
          <w:rFonts w:ascii="仿宋_GB2312" w:hint="eastAsia"/>
          <w:b/>
          <w:bCs/>
          <w:sz w:val="32"/>
          <w:szCs w:val="32"/>
        </w:rPr>
        <w:t>（</w:t>
      </w:r>
      <w:r w:rsidR="00621E84">
        <w:rPr>
          <w:rFonts w:ascii="仿宋_GB2312" w:hint="eastAsia"/>
          <w:b/>
          <w:bCs/>
          <w:sz w:val="32"/>
          <w:szCs w:val="32"/>
        </w:rPr>
        <w:t>六</w:t>
      </w:r>
      <w:r w:rsidRPr="00FB78AE">
        <w:rPr>
          <w:rFonts w:ascii="仿宋_GB2312" w:hint="eastAsia"/>
          <w:b/>
          <w:bCs/>
          <w:sz w:val="32"/>
          <w:szCs w:val="32"/>
        </w:rPr>
        <w:t>）</w:t>
      </w:r>
      <w:r>
        <w:rPr>
          <w:rFonts w:ascii="Times New Roman" w:hAnsi="Times New Roman" w:hint="eastAsia"/>
          <w:b/>
          <w:sz w:val="32"/>
          <w:szCs w:val="32"/>
        </w:rPr>
        <w:t>鼓励园区知识产权服务机构</w:t>
      </w:r>
      <w:r w:rsidRPr="00AC433C">
        <w:rPr>
          <w:rFonts w:ascii="Times New Roman" w:hAnsi="Times New Roman"/>
          <w:b/>
          <w:sz w:val="32"/>
          <w:szCs w:val="32"/>
        </w:rPr>
        <w:t>加强专利成果转化</w:t>
      </w:r>
    </w:p>
    <w:p w:rsidR="00006B1C" w:rsidRPr="009D39CE" w:rsidRDefault="00006B1C" w:rsidP="00006B1C">
      <w:pPr>
        <w:spacing w:line="600" w:lineRule="exact"/>
        <w:ind w:firstLineChars="200" w:firstLine="640"/>
        <w:rPr>
          <w:rFonts w:ascii="仿宋_GB2312"/>
          <w:sz w:val="32"/>
          <w:szCs w:val="32"/>
        </w:rPr>
      </w:pPr>
      <w:r w:rsidRPr="009D39CE">
        <w:rPr>
          <w:rFonts w:ascii="仿宋_GB2312" w:hint="eastAsia"/>
          <w:sz w:val="32"/>
          <w:szCs w:val="32"/>
        </w:rPr>
        <w:t>对</w:t>
      </w:r>
      <w:r>
        <w:rPr>
          <w:rFonts w:ascii="仿宋_GB2312" w:hint="eastAsia"/>
          <w:sz w:val="32"/>
          <w:szCs w:val="32"/>
        </w:rPr>
        <w:t>园区</w:t>
      </w:r>
      <w:r w:rsidRPr="009D39CE">
        <w:rPr>
          <w:rFonts w:ascii="仿宋_GB2312" w:hint="eastAsia"/>
          <w:sz w:val="32"/>
          <w:szCs w:val="32"/>
        </w:rPr>
        <w:t>知识产权服务机构通过</w:t>
      </w:r>
      <w:r>
        <w:rPr>
          <w:rFonts w:ascii="仿宋_GB2312" w:hint="eastAsia"/>
          <w:sz w:val="32"/>
          <w:szCs w:val="32"/>
        </w:rPr>
        <w:t>创造、</w:t>
      </w:r>
      <w:r w:rsidRPr="009D39CE">
        <w:rPr>
          <w:rFonts w:ascii="仿宋_GB2312" w:hint="eastAsia"/>
          <w:sz w:val="32"/>
          <w:szCs w:val="32"/>
        </w:rPr>
        <w:t>转让、实施许可、作价入股等方式促进</w:t>
      </w:r>
      <w:r>
        <w:rPr>
          <w:rFonts w:ascii="仿宋_GB2312" w:hint="eastAsia"/>
          <w:sz w:val="32"/>
          <w:szCs w:val="32"/>
        </w:rPr>
        <w:t>园区</w:t>
      </w:r>
      <w:r w:rsidRPr="009D39CE">
        <w:rPr>
          <w:rFonts w:ascii="仿宋_GB2312" w:hint="eastAsia"/>
          <w:sz w:val="32"/>
          <w:szCs w:val="32"/>
        </w:rPr>
        <w:t>专利资产交易转化，年主营业务收入达到500万元的，</w:t>
      </w:r>
      <w:r>
        <w:rPr>
          <w:rFonts w:ascii="仿宋_GB2312" w:hint="eastAsia"/>
          <w:sz w:val="32"/>
          <w:szCs w:val="32"/>
        </w:rPr>
        <w:t>按其当年实际缴纳企业所得税的园区留成比例给予资助，资助额</w:t>
      </w:r>
      <w:r w:rsidRPr="009D39CE">
        <w:rPr>
          <w:rFonts w:ascii="仿宋_GB2312" w:hint="eastAsia"/>
          <w:sz w:val="32"/>
          <w:szCs w:val="32"/>
        </w:rPr>
        <w:t>最高不超过100万元。</w:t>
      </w:r>
    </w:p>
    <w:p w:rsidR="00621E84" w:rsidRPr="00C268B4" w:rsidRDefault="00C268B4" w:rsidP="00006B1C">
      <w:pPr>
        <w:widowControl/>
        <w:spacing w:line="600" w:lineRule="exact"/>
        <w:ind w:firstLine="640"/>
        <w:rPr>
          <w:rFonts w:ascii="仿宋_GB2312"/>
          <w:b/>
          <w:kern w:val="0"/>
          <w:sz w:val="32"/>
          <w:szCs w:val="32"/>
        </w:rPr>
      </w:pPr>
      <w:r w:rsidRPr="00C268B4">
        <w:rPr>
          <w:rFonts w:ascii="仿宋_GB2312" w:hint="eastAsia"/>
          <w:b/>
          <w:bCs/>
          <w:sz w:val="32"/>
          <w:szCs w:val="32"/>
        </w:rPr>
        <w:t>（七）鼓励园区企业</w:t>
      </w:r>
      <w:r w:rsidRPr="00C268B4">
        <w:rPr>
          <w:rFonts w:ascii="仿宋_GB2312" w:hint="eastAsia"/>
          <w:b/>
          <w:kern w:val="0"/>
          <w:sz w:val="32"/>
          <w:szCs w:val="32"/>
        </w:rPr>
        <w:t>主动加强</w:t>
      </w:r>
      <w:r w:rsidR="00621E84" w:rsidRPr="00C268B4">
        <w:rPr>
          <w:rFonts w:ascii="仿宋_GB2312" w:hint="eastAsia"/>
          <w:b/>
          <w:sz w:val="32"/>
          <w:szCs w:val="32"/>
        </w:rPr>
        <w:t>知识产权</w:t>
      </w:r>
      <w:r w:rsidRPr="00C268B4">
        <w:rPr>
          <w:rFonts w:ascii="仿宋_GB2312" w:hint="eastAsia"/>
          <w:b/>
          <w:sz w:val="32"/>
          <w:szCs w:val="32"/>
        </w:rPr>
        <w:t>自我</w:t>
      </w:r>
      <w:r w:rsidR="00621E84" w:rsidRPr="00C268B4">
        <w:rPr>
          <w:rFonts w:ascii="仿宋_GB2312" w:hint="eastAsia"/>
          <w:b/>
          <w:sz w:val="32"/>
          <w:szCs w:val="32"/>
        </w:rPr>
        <w:t>保护</w:t>
      </w:r>
    </w:p>
    <w:p w:rsidR="00006B1C" w:rsidRPr="009D39CE" w:rsidRDefault="00006B1C" w:rsidP="00006B1C">
      <w:pPr>
        <w:widowControl/>
        <w:spacing w:line="600" w:lineRule="exact"/>
        <w:ind w:firstLine="640"/>
        <w:rPr>
          <w:rFonts w:ascii="仿宋_GB2312"/>
          <w:kern w:val="0"/>
          <w:sz w:val="32"/>
          <w:szCs w:val="32"/>
        </w:rPr>
      </w:pPr>
      <w:r w:rsidRPr="009D39CE">
        <w:rPr>
          <w:rFonts w:ascii="仿宋_GB2312" w:hint="eastAsia"/>
          <w:kern w:val="0"/>
          <w:sz w:val="32"/>
          <w:szCs w:val="32"/>
        </w:rPr>
        <w:t>对购买专利保险的企业或专利代理机构，按其购买专利保险实际支出保费的</w:t>
      </w:r>
      <w:r>
        <w:rPr>
          <w:rFonts w:ascii="仿宋_GB2312" w:hint="eastAsia"/>
          <w:kern w:val="0"/>
          <w:sz w:val="32"/>
          <w:szCs w:val="32"/>
        </w:rPr>
        <w:t>4</w:t>
      </w:r>
      <w:r w:rsidRPr="009D39CE">
        <w:rPr>
          <w:rFonts w:ascii="仿宋_GB2312" w:hint="eastAsia"/>
          <w:kern w:val="0"/>
          <w:sz w:val="32"/>
          <w:szCs w:val="32"/>
        </w:rPr>
        <w:t>0%给予补贴，同一单位每年专利保险补贴总额最高不超过30万元。</w:t>
      </w:r>
    </w:p>
    <w:p w:rsidR="00C268B4" w:rsidRPr="00FB78AE" w:rsidRDefault="00C268B4" w:rsidP="00C268B4">
      <w:pPr>
        <w:ind w:firstLineChars="200" w:firstLine="643"/>
        <w:rPr>
          <w:rFonts w:ascii="仿宋_GB2312"/>
          <w:b/>
          <w:bCs/>
          <w:sz w:val="32"/>
          <w:szCs w:val="32"/>
        </w:rPr>
      </w:pPr>
      <w:r w:rsidRPr="00FB78AE">
        <w:rPr>
          <w:rFonts w:ascii="仿宋_GB2312" w:hint="eastAsia"/>
          <w:b/>
          <w:bCs/>
          <w:sz w:val="32"/>
          <w:szCs w:val="32"/>
        </w:rPr>
        <w:t>（</w:t>
      </w:r>
      <w:r>
        <w:rPr>
          <w:rFonts w:ascii="仿宋_GB2312" w:hint="eastAsia"/>
          <w:b/>
          <w:bCs/>
          <w:sz w:val="32"/>
          <w:szCs w:val="32"/>
        </w:rPr>
        <w:t>八</w:t>
      </w:r>
      <w:r w:rsidRPr="00FB78AE">
        <w:rPr>
          <w:rFonts w:ascii="仿宋_GB2312" w:hint="eastAsia"/>
          <w:b/>
          <w:bCs/>
          <w:sz w:val="32"/>
          <w:szCs w:val="32"/>
        </w:rPr>
        <w:t>）鼓励园区企业积极应对专利侵权行为</w:t>
      </w:r>
    </w:p>
    <w:p w:rsidR="00006B1C" w:rsidRPr="00F43E6D" w:rsidRDefault="00006B1C" w:rsidP="00006B1C">
      <w:pPr>
        <w:spacing w:line="640" w:lineRule="exact"/>
        <w:ind w:firstLineChars="200" w:firstLine="640"/>
        <w:rPr>
          <w:rFonts w:ascii="Times New Roman" w:hAnsi="Times New Roman"/>
          <w:kern w:val="0"/>
          <w:sz w:val="32"/>
          <w:szCs w:val="32"/>
        </w:rPr>
      </w:pPr>
      <w:r>
        <w:rPr>
          <w:rFonts w:ascii="Times New Roman" w:hAnsi="Times New Roman" w:hint="eastAsia"/>
          <w:sz w:val="32"/>
          <w:szCs w:val="32"/>
        </w:rPr>
        <w:t>对园区企业为维护自身专利权益，主动提起或被动应对的国内外专利、商标诉讼，并获得胜诉，国内胜诉每件给予资助不超过</w:t>
      </w:r>
      <w:r>
        <w:rPr>
          <w:rFonts w:ascii="Times New Roman" w:hAnsi="Times New Roman" w:hint="eastAsia"/>
          <w:sz w:val="32"/>
          <w:szCs w:val="32"/>
        </w:rPr>
        <w:t>2</w:t>
      </w:r>
      <w:r>
        <w:rPr>
          <w:rFonts w:ascii="Times New Roman" w:hAnsi="Times New Roman" w:hint="eastAsia"/>
          <w:sz w:val="32"/>
          <w:szCs w:val="32"/>
        </w:rPr>
        <w:t>万，每个单位每年资助不超过</w:t>
      </w:r>
      <w:r>
        <w:rPr>
          <w:rFonts w:ascii="Times New Roman" w:hAnsi="Times New Roman" w:hint="eastAsia"/>
          <w:sz w:val="32"/>
          <w:szCs w:val="32"/>
        </w:rPr>
        <w:t>20</w:t>
      </w:r>
      <w:r>
        <w:rPr>
          <w:rFonts w:ascii="Times New Roman" w:hAnsi="Times New Roman" w:hint="eastAsia"/>
          <w:sz w:val="32"/>
          <w:szCs w:val="32"/>
        </w:rPr>
        <w:t>万元；国外胜诉每件给予资助不超过</w:t>
      </w:r>
      <w:r>
        <w:rPr>
          <w:rFonts w:ascii="Times New Roman" w:hAnsi="Times New Roman" w:hint="eastAsia"/>
          <w:sz w:val="32"/>
          <w:szCs w:val="32"/>
        </w:rPr>
        <w:t>5</w:t>
      </w:r>
      <w:r>
        <w:rPr>
          <w:rFonts w:ascii="Times New Roman" w:hAnsi="Times New Roman" w:hint="eastAsia"/>
          <w:sz w:val="32"/>
          <w:szCs w:val="32"/>
        </w:rPr>
        <w:t>万，每个单位每年资助不超过</w:t>
      </w:r>
      <w:r>
        <w:rPr>
          <w:rFonts w:ascii="Times New Roman" w:hAnsi="Times New Roman" w:hint="eastAsia"/>
          <w:sz w:val="32"/>
          <w:szCs w:val="32"/>
        </w:rPr>
        <w:t>50</w:t>
      </w:r>
      <w:r>
        <w:rPr>
          <w:rFonts w:ascii="Times New Roman" w:hAnsi="Times New Roman" w:hint="eastAsia"/>
          <w:sz w:val="32"/>
          <w:szCs w:val="32"/>
        </w:rPr>
        <w:t>万元。</w:t>
      </w:r>
    </w:p>
    <w:p w:rsidR="00A90E79" w:rsidRPr="00FB78AE" w:rsidRDefault="00A90E79" w:rsidP="00FB78AE">
      <w:pPr>
        <w:ind w:firstLineChars="200" w:firstLine="640"/>
        <w:rPr>
          <w:rFonts w:ascii="黑体" w:eastAsia="黑体" w:hAnsi="黑体"/>
          <w:bCs/>
          <w:sz w:val="32"/>
          <w:szCs w:val="32"/>
        </w:rPr>
      </w:pPr>
      <w:r w:rsidRPr="00FB78AE">
        <w:rPr>
          <w:rFonts w:ascii="黑体" w:eastAsia="黑体" w:hAnsi="黑体" w:hint="eastAsia"/>
          <w:bCs/>
          <w:sz w:val="32"/>
          <w:szCs w:val="32"/>
        </w:rPr>
        <w:t>四、解读机构</w:t>
      </w:r>
    </w:p>
    <w:p w:rsidR="00A90E79" w:rsidRPr="00105C07" w:rsidRDefault="00A90E79" w:rsidP="00FB78AE">
      <w:pPr>
        <w:ind w:firstLineChars="200" w:firstLine="640"/>
        <w:rPr>
          <w:rFonts w:ascii="仿宋_GB2312"/>
          <w:sz w:val="32"/>
          <w:szCs w:val="32"/>
        </w:rPr>
      </w:pPr>
      <w:r w:rsidRPr="00105C07">
        <w:rPr>
          <w:rFonts w:ascii="仿宋_GB2312" w:hint="eastAsia"/>
          <w:sz w:val="32"/>
          <w:szCs w:val="32"/>
        </w:rPr>
        <w:t>《</w:t>
      </w:r>
      <w:r w:rsidR="00FA1C55" w:rsidRPr="00105C07">
        <w:rPr>
          <w:rFonts w:ascii="仿宋_GB2312" w:hint="eastAsia"/>
          <w:sz w:val="32"/>
          <w:szCs w:val="32"/>
        </w:rPr>
        <w:t>东莞松山湖高新区知识产权资助办法</w:t>
      </w:r>
      <w:r w:rsidRPr="00105C07">
        <w:rPr>
          <w:rFonts w:ascii="仿宋_GB2312" w:hint="eastAsia"/>
          <w:sz w:val="32"/>
          <w:szCs w:val="32"/>
        </w:rPr>
        <w:t>》由东莞市市场监督管理局</w:t>
      </w:r>
      <w:r w:rsidR="00FA1C55" w:rsidRPr="00105C07">
        <w:rPr>
          <w:rFonts w:ascii="仿宋_GB2312" w:hint="eastAsia"/>
          <w:sz w:val="32"/>
          <w:szCs w:val="32"/>
        </w:rPr>
        <w:t>松山湖分局</w:t>
      </w:r>
      <w:r w:rsidRPr="00105C07">
        <w:rPr>
          <w:rFonts w:ascii="仿宋_GB2312" w:hint="eastAsia"/>
          <w:sz w:val="32"/>
          <w:szCs w:val="32"/>
        </w:rPr>
        <w:t>负责解读，具体联系电话：0769-</w:t>
      </w:r>
      <w:r w:rsidR="00FA1C55" w:rsidRPr="00105C07">
        <w:rPr>
          <w:rFonts w:ascii="仿宋_GB2312" w:hint="eastAsia"/>
          <w:sz w:val="32"/>
          <w:szCs w:val="32"/>
        </w:rPr>
        <w:t>22892683</w:t>
      </w:r>
      <w:r w:rsidRPr="00105C07">
        <w:rPr>
          <w:rFonts w:ascii="仿宋_GB2312" w:hint="eastAsia"/>
          <w:sz w:val="32"/>
          <w:szCs w:val="32"/>
        </w:rPr>
        <w:t>。</w:t>
      </w:r>
    </w:p>
    <w:sectPr w:rsidR="00A90E79" w:rsidRPr="00105C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8B8" w:rsidRDefault="003738B8" w:rsidP="00FB78AE">
      <w:pPr>
        <w:spacing w:line="240" w:lineRule="auto"/>
      </w:pPr>
      <w:r>
        <w:separator/>
      </w:r>
    </w:p>
  </w:endnote>
  <w:endnote w:type="continuationSeparator" w:id="0">
    <w:p w:rsidR="003738B8" w:rsidRDefault="003738B8" w:rsidP="00FB7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康简标题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8B8" w:rsidRDefault="003738B8" w:rsidP="00FB78AE">
      <w:pPr>
        <w:spacing w:line="240" w:lineRule="auto"/>
      </w:pPr>
      <w:r>
        <w:separator/>
      </w:r>
    </w:p>
  </w:footnote>
  <w:footnote w:type="continuationSeparator" w:id="0">
    <w:p w:rsidR="003738B8" w:rsidRDefault="003738B8" w:rsidP="00FB78A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88226"/>
    <w:multiLevelType w:val="singleLevel"/>
    <w:tmpl w:val="0C66EB36"/>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5F"/>
    <w:rsid w:val="00006B1C"/>
    <w:rsid w:val="00030A3F"/>
    <w:rsid w:val="000473C9"/>
    <w:rsid w:val="000D6A0D"/>
    <w:rsid w:val="00105C07"/>
    <w:rsid w:val="00137BC9"/>
    <w:rsid w:val="001424B6"/>
    <w:rsid w:val="001526FD"/>
    <w:rsid w:val="001A6EA3"/>
    <w:rsid w:val="002523E9"/>
    <w:rsid w:val="002561C1"/>
    <w:rsid w:val="00262BE8"/>
    <w:rsid w:val="0026722B"/>
    <w:rsid w:val="002705FE"/>
    <w:rsid w:val="002837CD"/>
    <w:rsid w:val="002A0CE2"/>
    <w:rsid w:val="002A395F"/>
    <w:rsid w:val="002D458A"/>
    <w:rsid w:val="00325A30"/>
    <w:rsid w:val="00361650"/>
    <w:rsid w:val="003738B8"/>
    <w:rsid w:val="003C4BE1"/>
    <w:rsid w:val="004A79E4"/>
    <w:rsid w:val="004D29BD"/>
    <w:rsid w:val="004E0F5E"/>
    <w:rsid w:val="005223E8"/>
    <w:rsid w:val="00531679"/>
    <w:rsid w:val="00532F10"/>
    <w:rsid w:val="005424D2"/>
    <w:rsid w:val="005446BA"/>
    <w:rsid w:val="005A49E1"/>
    <w:rsid w:val="005C407C"/>
    <w:rsid w:val="005D1EE3"/>
    <w:rsid w:val="00621E84"/>
    <w:rsid w:val="006B1332"/>
    <w:rsid w:val="006D55F4"/>
    <w:rsid w:val="00770409"/>
    <w:rsid w:val="007F39AA"/>
    <w:rsid w:val="0083059D"/>
    <w:rsid w:val="00867E58"/>
    <w:rsid w:val="008F0B94"/>
    <w:rsid w:val="00902486"/>
    <w:rsid w:val="009058B7"/>
    <w:rsid w:val="00915364"/>
    <w:rsid w:val="009440AB"/>
    <w:rsid w:val="009A758A"/>
    <w:rsid w:val="00A90E79"/>
    <w:rsid w:val="00AA4941"/>
    <w:rsid w:val="00B43677"/>
    <w:rsid w:val="00B44B0A"/>
    <w:rsid w:val="00B6252C"/>
    <w:rsid w:val="00B67702"/>
    <w:rsid w:val="00BA4FF9"/>
    <w:rsid w:val="00C268B4"/>
    <w:rsid w:val="00C37D7A"/>
    <w:rsid w:val="00C43D1D"/>
    <w:rsid w:val="00C96AC5"/>
    <w:rsid w:val="00CF0B88"/>
    <w:rsid w:val="00E579AE"/>
    <w:rsid w:val="00F1116E"/>
    <w:rsid w:val="00F73CE9"/>
    <w:rsid w:val="00F805CF"/>
    <w:rsid w:val="00FA1C55"/>
    <w:rsid w:val="00FA50E6"/>
    <w:rsid w:val="00FB78AE"/>
    <w:rsid w:val="00FD0837"/>
    <w:rsid w:val="00FE1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5E"/>
    <w:pPr>
      <w:widowControl w:val="0"/>
      <w:spacing w:line="360" w:lineRule="auto"/>
      <w:jc w:val="both"/>
    </w:pPr>
    <w:rPr>
      <w:rFonts w:eastAsia="仿宋_GB231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395F"/>
    <w:pPr>
      <w:spacing w:line="240" w:lineRule="auto"/>
    </w:pPr>
    <w:rPr>
      <w:rFonts w:ascii="宋体" w:eastAsia="宋体"/>
      <w:sz w:val="18"/>
      <w:szCs w:val="18"/>
    </w:rPr>
  </w:style>
  <w:style w:type="character" w:customStyle="1" w:styleId="Char">
    <w:name w:val="批注框文本 Char"/>
    <w:basedOn w:val="a0"/>
    <w:link w:val="a3"/>
    <w:uiPriority w:val="99"/>
    <w:semiHidden/>
    <w:rsid w:val="002A395F"/>
    <w:rPr>
      <w:rFonts w:ascii="宋体" w:eastAsia="宋体"/>
      <w:sz w:val="18"/>
      <w:szCs w:val="18"/>
    </w:rPr>
  </w:style>
  <w:style w:type="paragraph" w:styleId="a4">
    <w:name w:val="header"/>
    <w:basedOn w:val="a"/>
    <w:link w:val="Char0"/>
    <w:uiPriority w:val="99"/>
    <w:unhideWhenUsed/>
    <w:rsid w:val="00FB78A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FB78AE"/>
    <w:rPr>
      <w:rFonts w:eastAsia="仿宋_GB2312"/>
      <w:sz w:val="18"/>
      <w:szCs w:val="18"/>
    </w:rPr>
  </w:style>
  <w:style w:type="paragraph" w:styleId="a5">
    <w:name w:val="footer"/>
    <w:basedOn w:val="a"/>
    <w:link w:val="Char1"/>
    <w:uiPriority w:val="99"/>
    <w:unhideWhenUsed/>
    <w:rsid w:val="00FB78AE"/>
    <w:pPr>
      <w:tabs>
        <w:tab w:val="center" w:pos="4153"/>
        <w:tab w:val="right" w:pos="8306"/>
      </w:tabs>
      <w:snapToGrid w:val="0"/>
      <w:spacing w:line="240" w:lineRule="auto"/>
      <w:jc w:val="left"/>
    </w:pPr>
    <w:rPr>
      <w:sz w:val="18"/>
      <w:szCs w:val="18"/>
    </w:rPr>
  </w:style>
  <w:style w:type="character" w:customStyle="1" w:styleId="Char1">
    <w:name w:val="页脚 Char"/>
    <w:basedOn w:val="a0"/>
    <w:link w:val="a5"/>
    <w:uiPriority w:val="99"/>
    <w:rsid w:val="00FB78AE"/>
    <w:rPr>
      <w:rFonts w:eastAsia="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5E"/>
    <w:pPr>
      <w:widowControl w:val="0"/>
      <w:spacing w:line="360" w:lineRule="auto"/>
      <w:jc w:val="both"/>
    </w:pPr>
    <w:rPr>
      <w:rFonts w:eastAsia="仿宋_GB231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395F"/>
    <w:pPr>
      <w:spacing w:line="240" w:lineRule="auto"/>
    </w:pPr>
    <w:rPr>
      <w:rFonts w:ascii="宋体" w:eastAsia="宋体"/>
      <w:sz w:val="18"/>
      <w:szCs w:val="18"/>
    </w:rPr>
  </w:style>
  <w:style w:type="character" w:customStyle="1" w:styleId="Char">
    <w:name w:val="批注框文本 Char"/>
    <w:basedOn w:val="a0"/>
    <w:link w:val="a3"/>
    <w:uiPriority w:val="99"/>
    <w:semiHidden/>
    <w:rsid w:val="002A395F"/>
    <w:rPr>
      <w:rFonts w:ascii="宋体" w:eastAsia="宋体"/>
      <w:sz w:val="18"/>
      <w:szCs w:val="18"/>
    </w:rPr>
  </w:style>
  <w:style w:type="paragraph" w:styleId="a4">
    <w:name w:val="header"/>
    <w:basedOn w:val="a"/>
    <w:link w:val="Char0"/>
    <w:uiPriority w:val="99"/>
    <w:unhideWhenUsed/>
    <w:rsid w:val="00FB78A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FB78AE"/>
    <w:rPr>
      <w:rFonts w:eastAsia="仿宋_GB2312"/>
      <w:sz w:val="18"/>
      <w:szCs w:val="18"/>
    </w:rPr>
  </w:style>
  <w:style w:type="paragraph" w:styleId="a5">
    <w:name w:val="footer"/>
    <w:basedOn w:val="a"/>
    <w:link w:val="Char1"/>
    <w:uiPriority w:val="99"/>
    <w:unhideWhenUsed/>
    <w:rsid w:val="00FB78AE"/>
    <w:pPr>
      <w:tabs>
        <w:tab w:val="center" w:pos="4153"/>
        <w:tab w:val="right" w:pos="8306"/>
      </w:tabs>
      <w:snapToGrid w:val="0"/>
      <w:spacing w:line="240" w:lineRule="auto"/>
      <w:jc w:val="left"/>
    </w:pPr>
    <w:rPr>
      <w:sz w:val="18"/>
      <w:szCs w:val="18"/>
    </w:rPr>
  </w:style>
  <w:style w:type="character" w:customStyle="1" w:styleId="Char1">
    <w:name w:val="页脚 Char"/>
    <w:basedOn w:val="a0"/>
    <w:link w:val="a5"/>
    <w:uiPriority w:val="99"/>
    <w:rsid w:val="00FB78AE"/>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3515">
      <w:bodyDiv w:val="1"/>
      <w:marLeft w:val="0"/>
      <w:marRight w:val="0"/>
      <w:marTop w:val="0"/>
      <w:marBottom w:val="0"/>
      <w:divBdr>
        <w:top w:val="none" w:sz="0" w:space="0" w:color="auto"/>
        <w:left w:val="none" w:sz="0" w:space="0" w:color="auto"/>
        <w:bottom w:val="none" w:sz="0" w:space="0" w:color="auto"/>
        <w:right w:val="none" w:sz="0" w:space="0" w:color="auto"/>
      </w:divBdr>
    </w:div>
    <w:div w:id="271594613">
      <w:bodyDiv w:val="1"/>
      <w:marLeft w:val="0"/>
      <w:marRight w:val="0"/>
      <w:marTop w:val="0"/>
      <w:marBottom w:val="0"/>
      <w:divBdr>
        <w:top w:val="none" w:sz="0" w:space="0" w:color="auto"/>
        <w:left w:val="none" w:sz="0" w:space="0" w:color="auto"/>
        <w:bottom w:val="none" w:sz="0" w:space="0" w:color="auto"/>
        <w:right w:val="none" w:sz="0" w:space="0" w:color="auto"/>
      </w:divBdr>
    </w:div>
    <w:div w:id="430468845">
      <w:bodyDiv w:val="1"/>
      <w:marLeft w:val="0"/>
      <w:marRight w:val="0"/>
      <w:marTop w:val="0"/>
      <w:marBottom w:val="0"/>
      <w:divBdr>
        <w:top w:val="none" w:sz="0" w:space="0" w:color="auto"/>
        <w:left w:val="none" w:sz="0" w:space="0" w:color="auto"/>
        <w:bottom w:val="none" w:sz="0" w:space="0" w:color="auto"/>
        <w:right w:val="none" w:sz="0" w:space="0" w:color="auto"/>
      </w:divBdr>
    </w:div>
    <w:div w:id="500701736">
      <w:bodyDiv w:val="1"/>
      <w:marLeft w:val="0"/>
      <w:marRight w:val="0"/>
      <w:marTop w:val="0"/>
      <w:marBottom w:val="0"/>
      <w:divBdr>
        <w:top w:val="none" w:sz="0" w:space="0" w:color="auto"/>
        <w:left w:val="none" w:sz="0" w:space="0" w:color="auto"/>
        <w:bottom w:val="none" w:sz="0" w:space="0" w:color="auto"/>
        <w:right w:val="none" w:sz="0" w:space="0" w:color="auto"/>
      </w:divBdr>
    </w:div>
    <w:div w:id="570312697">
      <w:bodyDiv w:val="1"/>
      <w:marLeft w:val="0"/>
      <w:marRight w:val="0"/>
      <w:marTop w:val="0"/>
      <w:marBottom w:val="0"/>
      <w:divBdr>
        <w:top w:val="none" w:sz="0" w:space="0" w:color="auto"/>
        <w:left w:val="none" w:sz="0" w:space="0" w:color="auto"/>
        <w:bottom w:val="none" w:sz="0" w:space="0" w:color="auto"/>
        <w:right w:val="none" w:sz="0" w:space="0" w:color="auto"/>
      </w:divBdr>
    </w:div>
    <w:div w:id="783691986">
      <w:bodyDiv w:val="1"/>
      <w:marLeft w:val="0"/>
      <w:marRight w:val="0"/>
      <w:marTop w:val="0"/>
      <w:marBottom w:val="0"/>
      <w:divBdr>
        <w:top w:val="none" w:sz="0" w:space="0" w:color="auto"/>
        <w:left w:val="none" w:sz="0" w:space="0" w:color="auto"/>
        <w:bottom w:val="none" w:sz="0" w:space="0" w:color="auto"/>
        <w:right w:val="none" w:sz="0" w:space="0" w:color="auto"/>
      </w:divBdr>
    </w:div>
    <w:div w:id="814179794">
      <w:bodyDiv w:val="1"/>
      <w:marLeft w:val="0"/>
      <w:marRight w:val="0"/>
      <w:marTop w:val="0"/>
      <w:marBottom w:val="0"/>
      <w:divBdr>
        <w:top w:val="none" w:sz="0" w:space="0" w:color="auto"/>
        <w:left w:val="none" w:sz="0" w:space="0" w:color="auto"/>
        <w:bottom w:val="none" w:sz="0" w:space="0" w:color="auto"/>
        <w:right w:val="none" w:sz="0" w:space="0" w:color="auto"/>
      </w:divBdr>
    </w:div>
    <w:div w:id="1349327961">
      <w:bodyDiv w:val="1"/>
      <w:marLeft w:val="0"/>
      <w:marRight w:val="0"/>
      <w:marTop w:val="0"/>
      <w:marBottom w:val="0"/>
      <w:divBdr>
        <w:top w:val="none" w:sz="0" w:space="0" w:color="auto"/>
        <w:left w:val="none" w:sz="0" w:space="0" w:color="auto"/>
        <w:bottom w:val="none" w:sz="0" w:space="0" w:color="auto"/>
        <w:right w:val="none" w:sz="0" w:space="0" w:color="auto"/>
      </w:divBdr>
    </w:div>
    <w:div w:id="1391729334">
      <w:bodyDiv w:val="1"/>
      <w:marLeft w:val="0"/>
      <w:marRight w:val="0"/>
      <w:marTop w:val="0"/>
      <w:marBottom w:val="0"/>
      <w:divBdr>
        <w:top w:val="none" w:sz="0" w:space="0" w:color="auto"/>
        <w:left w:val="none" w:sz="0" w:space="0" w:color="auto"/>
        <w:bottom w:val="none" w:sz="0" w:space="0" w:color="auto"/>
        <w:right w:val="none" w:sz="0" w:space="0" w:color="auto"/>
      </w:divBdr>
    </w:div>
    <w:div w:id="1494443256">
      <w:bodyDiv w:val="1"/>
      <w:marLeft w:val="0"/>
      <w:marRight w:val="0"/>
      <w:marTop w:val="0"/>
      <w:marBottom w:val="0"/>
      <w:divBdr>
        <w:top w:val="none" w:sz="0" w:space="0" w:color="auto"/>
        <w:left w:val="none" w:sz="0" w:space="0" w:color="auto"/>
        <w:bottom w:val="none" w:sz="0" w:space="0" w:color="auto"/>
        <w:right w:val="none" w:sz="0" w:space="0" w:color="auto"/>
      </w:divBdr>
    </w:div>
    <w:div w:id="1502550234">
      <w:bodyDiv w:val="1"/>
      <w:marLeft w:val="0"/>
      <w:marRight w:val="0"/>
      <w:marTop w:val="0"/>
      <w:marBottom w:val="0"/>
      <w:divBdr>
        <w:top w:val="none" w:sz="0" w:space="0" w:color="auto"/>
        <w:left w:val="none" w:sz="0" w:space="0" w:color="auto"/>
        <w:bottom w:val="none" w:sz="0" w:space="0" w:color="auto"/>
        <w:right w:val="none" w:sz="0" w:space="0" w:color="auto"/>
      </w:divBdr>
    </w:div>
    <w:div w:id="1540581078">
      <w:bodyDiv w:val="1"/>
      <w:marLeft w:val="0"/>
      <w:marRight w:val="0"/>
      <w:marTop w:val="0"/>
      <w:marBottom w:val="0"/>
      <w:divBdr>
        <w:top w:val="none" w:sz="0" w:space="0" w:color="auto"/>
        <w:left w:val="none" w:sz="0" w:space="0" w:color="auto"/>
        <w:bottom w:val="none" w:sz="0" w:space="0" w:color="auto"/>
        <w:right w:val="none" w:sz="0" w:space="0" w:color="auto"/>
      </w:divBdr>
    </w:div>
    <w:div w:id="1569655313">
      <w:bodyDiv w:val="1"/>
      <w:marLeft w:val="0"/>
      <w:marRight w:val="0"/>
      <w:marTop w:val="0"/>
      <w:marBottom w:val="0"/>
      <w:divBdr>
        <w:top w:val="none" w:sz="0" w:space="0" w:color="auto"/>
        <w:left w:val="none" w:sz="0" w:space="0" w:color="auto"/>
        <w:bottom w:val="none" w:sz="0" w:space="0" w:color="auto"/>
        <w:right w:val="none" w:sz="0" w:space="0" w:color="auto"/>
      </w:divBdr>
    </w:div>
    <w:div w:id="1611203285">
      <w:bodyDiv w:val="1"/>
      <w:marLeft w:val="0"/>
      <w:marRight w:val="0"/>
      <w:marTop w:val="0"/>
      <w:marBottom w:val="0"/>
      <w:divBdr>
        <w:top w:val="none" w:sz="0" w:space="0" w:color="auto"/>
        <w:left w:val="none" w:sz="0" w:space="0" w:color="auto"/>
        <w:bottom w:val="none" w:sz="0" w:space="0" w:color="auto"/>
        <w:right w:val="none" w:sz="0" w:space="0" w:color="auto"/>
      </w:divBdr>
    </w:div>
    <w:div w:id="1625504292">
      <w:bodyDiv w:val="1"/>
      <w:marLeft w:val="0"/>
      <w:marRight w:val="0"/>
      <w:marTop w:val="0"/>
      <w:marBottom w:val="0"/>
      <w:divBdr>
        <w:top w:val="none" w:sz="0" w:space="0" w:color="auto"/>
        <w:left w:val="none" w:sz="0" w:space="0" w:color="auto"/>
        <w:bottom w:val="none" w:sz="0" w:space="0" w:color="auto"/>
        <w:right w:val="none" w:sz="0" w:space="0" w:color="auto"/>
      </w:divBdr>
    </w:div>
    <w:div w:id="1724404449">
      <w:bodyDiv w:val="1"/>
      <w:marLeft w:val="0"/>
      <w:marRight w:val="0"/>
      <w:marTop w:val="0"/>
      <w:marBottom w:val="0"/>
      <w:divBdr>
        <w:top w:val="none" w:sz="0" w:space="0" w:color="auto"/>
        <w:left w:val="none" w:sz="0" w:space="0" w:color="auto"/>
        <w:bottom w:val="none" w:sz="0" w:space="0" w:color="auto"/>
        <w:right w:val="none" w:sz="0" w:space="0" w:color="auto"/>
      </w:divBdr>
    </w:div>
    <w:div w:id="1989280626">
      <w:bodyDiv w:val="1"/>
      <w:marLeft w:val="0"/>
      <w:marRight w:val="0"/>
      <w:marTop w:val="0"/>
      <w:marBottom w:val="0"/>
      <w:divBdr>
        <w:top w:val="none" w:sz="0" w:space="0" w:color="auto"/>
        <w:left w:val="none" w:sz="0" w:space="0" w:color="auto"/>
        <w:bottom w:val="none" w:sz="0" w:space="0" w:color="auto"/>
        <w:right w:val="none" w:sz="0" w:space="0" w:color="auto"/>
      </w:divBdr>
    </w:div>
    <w:div w:id="213348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278</Words>
  <Characters>1590</Characters>
  <Application>Microsoft Office Word</Application>
  <DocSecurity>0</DocSecurity>
  <Lines>13</Lines>
  <Paragraphs>3</Paragraphs>
  <ScaleCrop>false</ScaleCrop>
  <Company>Microsoft</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超君</dc:creator>
  <cp:lastModifiedBy>唐国梅</cp:lastModifiedBy>
  <cp:revision>2</cp:revision>
  <dcterms:created xsi:type="dcterms:W3CDTF">2020-12-16T08:46:00Z</dcterms:created>
  <dcterms:modified xsi:type="dcterms:W3CDTF">2020-12-16T08:46:00Z</dcterms:modified>
</cp:coreProperties>
</file>