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0" w:name="_Hlk528163012"/>
    </w:p>
    <w:p>
      <w:pPr>
        <w:jc w:val="center"/>
      </w:pPr>
    </w:p>
    <w:bookmarkEnd w:id="0"/>
    <w:p>
      <w:pPr>
        <w:jc w:val="center"/>
      </w:pPr>
    </w:p>
    <w:p>
      <w:pPr>
        <w:jc w:val="center"/>
      </w:pPr>
    </w:p>
    <w:p>
      <w:pPr>
        <w:jc w:val="center"/>
      </w:pPr>
    </w:p>
    <w:p>
      <w:pPr>
        <w:ind w:firstLine="0" w:firstLineChars="0"/>
        <w:jc w:val="center"/>
        <w:rPr>
          <w:rFonts w:eastAsia="方正小标宋简体"/>
          <w:sz w:val="52"/>
          <w:szCs w:val="52"/>
        </w:rPr>
      </w:pPr>
      <w:r>
        <w:rPr>
          <w:rFonts w:hint="eastAsia" w:eastAsia="方正小标宋简体"/>
          <w:sz w:val="52"/>
          <w:szCs w:val="52"/>
        </w:rPr>
        <w:t xml:space="preserve"> 松山湖创新创业大赛项目</w:t>
      </w:r>
    </w:p>
    <w:p>
      <w:pPr>
        <w:ind w:firstLine="0" w:firstLineChars="0"/>
        <w:jc w:val="center"/>
        <w:rPr>
          <w:rFonts w:eastAsia="方正小标宋简体"/>
          <w:sz w:val="52"/>
          <w:szCs w:val="52"/>
        </w:rPr>
      </w:pPr>
      <w:r>
        <w:rPr>
          <w:rFonts w:hint="eastAsia" w:eastAsia="方正小标宋简体"/>
          <w:sz w:val="52"/>
          <w:szCs w:val="52"/>
        </w:rPr>
        <w:t>重点绩效评价报告</w:t>
      </w:r>
    </w:p>
    <w:p>
      <w:pPr>
        <w:jc w:val="center"/>
      </w:pPr>
    </w:p>
    <w:p>
      <w:pPr>
        <w:jc w:val="center"/>
      </w:pPr>
    </w:p>
    <w:p>
      <w:pPr>
        <w:jc w:val="center"/>
      </w:pPr>
    </w:p>
    <w:p>
      <w:pPr>
        <w:jc w:val="center"/>
      </w:pPr>
    </w:p>
    <w:p>
      <w:pPr>
        <w:jc w:val="center"/>
      </w:pPr>
    </w:p>
    <w:p>
      <w:pPr>
        <w:jc w:val="center"/>
      </w:pPr>
    </w:p>
    <w:p>
      <w:pPr>
        <w:jc w:val="center"/>
      </w:pPr>
    </w:p>
    <w:p>
      <w:pPr>
        <w:ind w:firstLine="0" w:firstLineChars="0"/>
        <w:jc w:val="center"/>
      </w:pPr>
    </w:p>
    <w:p>
      <w:pPr>
        <w:ind w:firstLine="0" w:firstLineChars="0"/>
        <w:jc w:val="center"/>
      </w:pPr>
    </w:p>
    <w:p>
      <w:pPr>
        <w:widowControl/>
        <w:snapToGrid w:val="0"/>
        <w:jc w:val="center"/>
        <w:rPr>
          <w:rFonts w:eastAsia="方正小标宋简体" w:cs="方正小标宋简体"/>
          <w:bCs/>
          <w:kern w:val="0"/>
          <w:szCs w:val="30"/>
        </w:rPr>
      </w:pPr>
      <w:bookmarkStart w:id="1" w:name="_Toc16147"/>
      <w:r>
        <w:rPr>
          <w:rFonts w:hint="eastAsia" w:eastAsia="方正小标宋简体" w:cs="方正小标宋简体"/>
          <w:bCs/>
          <w:kern w:val="0"/>
          <w:szCs w:val="30"/>
        </w:rPr>
        <w:t>广东中大管理咨询集团股份有限公司</w:t>
      </w:r>
      <w:bookmarkEnd w:id="1"/>
    </w:p>
    <w:p>
      <w:pPr>
        <w:widowControl/>
        <w:snapToGrid w:val="0"/>
        <w:jc w:val="center"/>
        <w:rPr>
          <w:rFonts w:eastAsia="方正小标宋简体" w:cs="方正小标宋简体"/>
          <w:bCs/>
          <w:kern w:val="0"/>
          <w:szCs w:val="30"/>
        </w:rPr>
      </w:pPr>
      <w:r>
        <w:rPr>
          <w:rFonts w:hint="eastAsia" w:eastAsia="方正小标宋简体" w:cs="方正小标宋简体"/>
          <w:bCs/>
          <w:kern w:val="0"/>
          <w:szCs w:val="30"/>
        </w:rPr>
        <w:t>二</w:t>
      </w:r>
      <w:r>
        <w:rPr>
          <w:rFonts w:hint="eastAsia" w:eastAsia="宋体" w:cs="宋体"/>
          <w:bCs/>
          <w:kern w:val="0"/>
          <w:szCs w:val="30"/>
        </w:rPr>
        <w:t>〇</w:t>
      </w:r>
      <w:r>
        <w:rPr>
          <w:rFonts w:hint="eastAsia" w:eastAsia="方正小标宋简体" w:cs="方正小标宋简体"/>
          <w:bCs/>
          <w:kern w:val="0"/>
          <w:szCs w:val="30"/>
        </w:rPr>
        <w:t>二六年六月</w:t>
      </w:r>
    </w:p>
    <w:p>
      <w:pPr>
        <w:widowControl/>
        <w:snapToGrid w:val="0"/>
        <w:jc w:val="center"/>
        <w:rPr>
          <w:rFonts w:eastAsia="方正小标宋简体" w:cs="方正小标宋简体"/>
          <w:bCs/>
          <w:kern w:val="0"/>
          <w:szCs w:val="30"/>
        </w:rPr>
      </w:pPr>
    </w:p>
    <w:p>
      <w:pPr>
        <w:widowControl/>
        <w:snapToGrid w:val="0"/>
        <w:jc w:val="center"/>
        <w:rPr>
          <w:rFonts w:eastAsia="方正小标宋简体" w:cs="方正小标宋简体"/>
          <w:bCs/>
          <w:kern w:val="0"/>
          <w:szCs w:val="30"/>
        </w:rPr>
      </w:pPr>
    </w:p>
    <w:p>
      <w:pPr>
        <w:ind w:firstLine="0" w:firstLineChars="0"/>
        <w:jc w:val="center"/>
        <w:rPr>
          <w:rFonts w:eastAsia="黑体" w:cs="黑体"/>
        </w:rPr>
      </w:pPr>
    </w:p>
    <w:p>
      <w:pPr>
        <w:ind w:firstLine="0" w:firstLineChars="0"/>
        <w:jc w:val="center"/>
        <w:rPr>
          <w:rFonts w:eastAsia="黑体" w:cs="黑体"/>
        </w:rPr>
      </w:pPr>
    </w:p>
    <w:p>
      <w:pPr>
        <w:ind w:firstLine="0" w:firstLineChars="0"/>
        <w:jc w:val="center"/>
        <w:rPr>
          <w:rFonts w:eastAsia="黑体" w:cs="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start="1"/>
          <w:cols w:space="720" w:num="1"/>
          <w:docGrid w:type="lines" w:linePitch="312" w:charSpace="0"/>
        </w:sectPr>
      </w:pPr>
    </w:p>
    <w:p>
      <w:pPr>
        <w:ind w:firstLine="0" w:firstLineChars="0"/>
        <w:jc w:val="center"/>
        <w:rPr>
          <w:rFonts w:hint="eastAsia" w:eastAsia="黑体"/>
        </w:rPr>
        <w:sectPr>
          <w:footerReference r:id="rId11" w:type="default"/>
          <w:pgSz w:w="11906" w:h="16838"/>
          <w:pgMar w:top="1440" w:right="1800" w:bottom="1440" w:left="1800" w:header="851" w:footer="992" w:gutter="0"/>
          <w:pgNumType w:fmt="upperRoman" w:start="1"/>
          <w:cols w:space="425" w:num="1"/>
          <w:docGrid w:type="lines" w:linePitch="312" w:charSpace="0"/>
        </w:sectPr>
      </w:pPr>
    </w:p>
    <w:p>
      <w:pPr>
        <w:ind w:firstLine="0" w:firstLineChars="0"/>
        <w:jc w:val="center"/>
        <w:rPr>
          <w:rFonts w:eastAsia="黑体"/>
        </w:rPr>
      </w:pPr>
      <w:r>
        <w:rPr>
          <w:rFonts w:hint="eastAsia" w:eastAsia="黑体"/>
        </w:rPr>
        <w:t>目  录</w:t>
      </w:r>
    </w:p>
    <w:p>
      <w:pPr>
        <w:pStyle w:val="19"/>
        <w:tabs>
          <w:tab w:val="right" w:leader="dot" w:pos="8306"/>
          <w:tab w:val="clear" w:pos="8296"/>
        </w:tabs>
      </w:pPr>
      <w:r>
        <w:rPr>
          <w:rFonts w:hint="eastAsia" w:ascii="Times New Roman" w:eastAsia="楷体_GB2312"/>
          <w:kern w:val="0"/>
          <w:sz w:val="32"/>
          <w:szCs w:val="32"/>
        </w:rPr>
        <w:fldChar w:fldCharType="begin"/>
      </w:r>
      <w:r>
        <w:rPr>
          <w:rFonts w:hint="eastAsia" w:ascii="Times New Roman" w:eastAsia="楷体_GB2312"/>
          <w:sz w:val="32"/>
          <w:szCs w:val="32"/>
        </w:rPr>
        <w:instrText xml:space="preserve">TOC \o "1-2" \h \u </w:instrText>
      </w:r>
      <w:r>
        <w:rPr>
          <w:rFonts w:hint="eastAsia" w:ascii="Times New Roman" w:eastAsia="楷体_GB2312"/>
          <w:kern w:val="0"/>
          <w:sz w:val="32"/>
          <w:szCs w:val="32"/>
        </w:rPr>
        <w:fldChar w:fldCharType="separate"/>
      </w:r>
      <w:r>
        <w:rPr>
          <w:rFonts w:hint="eastAsia" w:ascii="Times New Roman" w:eastAsia="楷体_GB2312"/>
          <w:kern w:val="0"/>
          <w:szCs w:val="32"/>
        </w:rPr>
        <w:fldChar w:fldCharType="begin"/>
      </w:r>
      <w:r>
        <w:rPr>
          <w:rFonts w:hint="eastAsia" w:ascii="Times New Roman" w:eastAsia="楷体_GB2312"/>
          <w:kern w:val="0"/>
          <w:szCs w:val="32"/>
        </w:rPr>
        <w:instrText xml:space="preserve"> HYPERLINK \l _Toc9800 </w:instrText>
      </w:r>
      <w:r>
        <w:rPr>
          <w:rFonts w:hint="eastAsia" w:ascii="Times New Roman" w:eastAsia="楷体_GB2312"/>
          <w:kern w:val="0"/>
          <w:szCs w:val="32"/>
        </w:rPr>
        <w:fldChar w:fldCharType="separate"/>
      </w:r>
      <w:r>
        <w:rPr>
          <w:rFonts w:hint="eastAsia"/>
        </w:rPr>
        <w:t>摘要</w:t>
      </w:r>
      <w:r>
        <w:tab/>
      </w:r>
      <w:r>
        <w:fldChar w:fldCharType="begin"/>
      </w:r>
      <w:r>
        <w:instrText xml:space="preserve"> PAGEREF _Toc9800 \h </w:instrText>
      </w:r>
      <w:r>
        <w:fldChar w:fldCharType="separate"/>
      </w:r>
      <w:r>
        <w:t>III</w:t>
      </w:r>
      <w:r>
        <w:fldChar w:fldCharType="end"/>
      </w:r>
      <w:r>
        <w:rPr>
          <w:rFonts w:hint="eastAsia" w:ascii="Times New Roman" w:eastAsia="楷体_GB2312"/>
          <w:kern w:val="0"/>
          <w:szCs w:val="32"/>
        </w:rPr>
        <w:fldChar w:fldCharType="end"/>
      </w:r>
    </w:p>
    <w:p>
      <w:pPr>
        <w:pStyle w:val="19"/>
        <w:tabs>
          <w:tab w:val="right" w:leader="dot" w:pos="8306"/>
          <w:tab w:val="clear" w:pos="8296"/>
        </w:tabs>
      </w:pPr>
      <w:r>
        <w:rPr>
          <w:rFonts w:hint="eastAsia" w:eastAsia="楷体_GB2312"/>
        </w:rPr>
        <w:fldChar w:fldCharType="begin"/>
      </w:r>
      <w:r>
        <w:rPr>
          <w:rFonts w:hint="eastAsia" w:eastAsia="楷体_GB2312"/>
        </w:rPr>
        <w:instrText xml:space="preserve"> HYPERLINK \l _Toc15640 </w:instrText>
      </w:r>
      <w:r>
        <w:rPr>
          <w:rFonts w:hint="eastAsia" w:eastAsia="楷体_GB2312"/>
        </w:rPr>
        <w:fldChar w:fldCharType="separate"/>
      </w:r>
      <w:r>
        <w:rPr>
          <w:rFonts w:hint="eastAsia"/>
        </w:rPr>
        <w:t>一、项目基本情况</w:t>
      </w:r>
      <w:r>
        <w:tab/>
      </w:r>
      <w:r>
        <w:fldChar w:fldCharType="begin"/>
      </w:r>
      <w:r>
        <w:instrText xml:space="preserve"> PAGEREF _Toc15640 \h </w:instrText>
      </w:r>
      <w:r>
        <w:fldChar w:fldCharType="separate"/>
      </w:r>
      <w:r>
        <w:t>1</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_Toc26740 </w:instrText>
      </w:r>
      <w:r>
        <w:rPr>
          <w:rFonts w:hint="eastAsia" w:eastAsia="楷体_GB2312"/>
        </w:rPr>
        <w:fldChar w:fldCharType="separate"/>
      </w:r>
      <w:r>
        <w:rPr>
          <w:rFonts w:hint="eastAsia"/>
          <w:kern w:val="0"/>
        </w:rPr>
        <w:t>（一）项目概况</w:t>
      </w:r>
      <w:r>
        <w:tab/>
      </w:r>
      <w:r>
        <w:fldChar w:fldCharType="begin"/>
      </w:r>
      <w:r>
        <w:instrText xml:space="preserve"> PAGEREF _Toc26740 \h </w:instrText>
      </w:r>
      <w:r>
        <w:fldChar w:fldCharType="separate"/>
      </w:r>
      <w:r>
        <w:t>1</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_Toc16171 </w:instrText>
      </w:r>
      <w:r>
        <w:rPr>
          <w:rFonts w:hint="eastAsia" w:eastAsia="楷体_GB2312"/>
        </w:rPr>
        <w:fldChar w:fldCharType="separate"/>
      </w:r>
      <w:r>
        <w:rPr>
          <w:rFonts w:hint="eastAsia"/>
          <w:kern w:val="0"/>
        </w:rPr>
        <w:t>（二）项目组织实施过程</w:t>
      </w:r>
      <w:r>
        <w:tab/>
      </w:r>
      <w:r>
        <w:fldChar w:fldCharType="begin"/>
      </w:r>
      <w:r>
        <w:instrText xml:space="preserve"> PAGEREF _Toc16171 \h </w:instrText>
      </w:r>
      <w:r>
        <w:fldChar w:fldCharType="separate"/>
      </w:r>
      <w:r>
        <w:t>2</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_Toc30741 </w:instrText>
      </w:r>
      <w:r>
        <w:rPr>
          <w:rFonts w:hint="eastAsia" w:eastAsia="楷体_GB2312"/>
        </w:rPr>
        <w:fldChar w:fldCharType="separate"/>
      </w:r>
      <w:r>
        <w:rPr>
          <w:rFonts w:hint="eastAsia"/>
          <w:kern w:val="0"/>
        </w:rPr>
        <w:t>（三）项目运作机制及奖励方式</w:t>
      </w:r>
      <w:r>
        <w:tab/>
      </w:r>
      <w:r>
        <w:fldChar w:fldCharType="begin"/>
      </w:r>
      <w:r>
        <w:instrText xml:space="preserve"> PAGEREF _Toc30741 \h </w:instrText>
      </w:r>
      <w:r>
        <w:fldChar w:fldCharType="separate"/>
      </w:r>
      <w:r>
        <w:t>4</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_Toc32730 </w:instrText>
      </w:r>
      <w:r>
        <w:rPr>
          <w:rFonts w:hint="eastAsia" w:eastAsia="楷体_GB2312"/>
        </w:rPr>
        <w:fldChar w:fldCharType="separate"/>
      </w:r>
      <w:r>
        <w:rPr>
          <w:rFonts w:hint="eastAsia"/>
          <w:kern w:val="0"/>
        </w:rPr>
        <w:t>（四）资金投入及使用情况</w:t>
      </w:r>
      <w:r>
        <w:tab/>
      </w:r>
      <w:r>
        <w:fldChar w:fldCharType="begin"/>
      </w:r>
      <w:r>
        <w:instrText xml:space="preserve"> PAGEREF _Toc32730 \h </w:instrText>
      </w:r>
      <w:r>
        <w:fldChar w:fldCharType="separate"/>
      </w:r>
      <w:r>
        <w:t>13</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_Toc21488 </w:instrText>
      </w:r>
      <w:r>
        <w:rPr>
          <w:rFonts w:hint="eastAsia" w:eastAsia="楷体_GB2312"/>
        </w:rPr>
        <w:fldChar w:fldCharType="separate"/>
      </w:r>
      <w:r>
        <w:rPr>
          <w:rFonts w:hint="eastAsia"/>
          <w:kern w:val="0"/>
        </w:rPr>
        <w:t>（五）绩效目标设置情况</w:t>
      </w:r>
      <w:r>
        <w:tab/>
      </w:r>
      <w:r>
        <w:fldChar w:fldCharType="begin"/>
      </w:r>
      <w:r>
        <w:instrText xml:space="preserve"> PAGEREF _Toc21488 \h </w:instrText>
      </w:r>
      <w:r>
        <w:fldChar w:fldCharType="separate"/>
      </w:r>
      <w:r>
        <w:t>15</w:t>
      </w:r>
      <w:r>
        <w:fldChar w:fldCharType="end"/>
      </w:r>
      <w:r>
        <w:rPr>
          <w:rFonts w:hint="eastAsia" w:eastAsia="楷体_GB2312"/>
        </w:rPr>
        <w:fldChar w:fldCharType="end"/>
      </w:r>
    </w:p>
    <w:p>
      <w:pPr>
        <w:pStyle w:val="19"/>
        <w:tabs>
          <w:tab w:val="right" w:leader="dot" w:pos="8306"/>
          <w:tab w:val="clear" w:pos="8296"/>
        </w:tabs>
      </w:pPr>
      <w:r>
        <w:rPr>
          <w:rFonts w:hint="eastAsia" w:eastAsia="楷体_GB2312"/>
        </w:rPr>
        <w:fldChar w:fldCharType="begin"/>
      </w:r>
      <w:r>
        <w:rPr>
          <w:rFonts w:hint="eastAsia" w:eastAsia="楷体_GB2312"/>
        </w:rPr>
        <w:instrText xml:space="preserve"> HYPERLINK \l _Toc19633 </w:instrText>
      </w:r>
      <w:r>
        <w:rPr>
          <w:rFonts w:hint="eastAsia" w:eastAsia="楷体_GB2312"/>
        </w:rPr>
        <w:fldChar w:fldCharType="separate"/>
      </w:r>
      <w:r>
        <w:rPr>
          <w:rFonts w:hint="eastAsia"/>
        </w:rPr>
        <w:t>二、综合评价情况及得分</w:t>
      </w:r>
      <w:r>
        <w:tab/>
      </w:r>
      <w:r>
        <w:fldChar w:fldCharType="begin"/>
      </w:r>
      <w:r>
        <w:instrText xml:space="preserve"> PAGEREF _Toc19633 \h </w:instrText>
      </w:r>
      <w:r>
        <w:fldChar w:fldCharType="separate"/>
      </w:r>
      <w:r>
        <w:t>16</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_Toc7635 </w:instrText>
      </w:r>
      <w:r>
        <w:rPr>
          <w:rFonts w:hint="eastAsia" w:eastAsia="楷体_GB2312"/>
        </w:rPr>
        <w:fldChar w:fldCharType="separate"/>
      </w:r>
      <w:r>
        <w:rPr>
          <w:rFonts w:hint="eastAsia"/>
          <w:kern w:val="0"/>
        </w:rPr>
        <w:t>（一）总体得分</w:t>
      </w:r>
      <w:r>
        <w:tab/>
      </w:r>
      <w:r>
        <w:fldChar w:fldCharType="begin"/>
      </w:r>
      <w:r>
        <w:instrText xml:space="preserve"> PAGEREF _Toc7635 \h </w:instrText>
      </w:r>
      <w:r>
        <w:fldChar w:fldCharType="separate"/>
      </w:r>
      <w:r>
        <w:t>16</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_Toc26864 </w:instrText>
      </w:r>
      <w:r>
        <w:rPr>
          <w:rFonts w:hint="eastAsia" w:eastAsia="楷体_GB2312"/>
        </w:rPr>
        <w:fldChar w:fldCharType="separate"/>
      </w:r>
      <w:r>
        <w:rPr>
          <w:rFonts w:hint="eastAsia"/>
          <w:kern w:val="0"/>
        </w:rPr>
        <w:t>（二）综合评价结论</w:t>
      </w:r>
      <w:r>
        <w:tab/>
      </w:r>
      <w:r>
        <w:fldChar w:fldCharType="begin"/>
      </w:r>
      <w:r>
        <w:instrText xml:space="preserve"> PAGEREF _Toc26864 \h </w:instrText>
      </w:r>
      <w:r>
        <w:fldChar w:fldCharType="separate"/>
      </w:r>
      <w:r>
        <w:t>17</w:t>
      </w:r>
      <w:r>
        <w:fldChar w:fldCharType="end"/>
      </w:r>
      <w:r>
        <w:rPr>
          <w:rFonts w:hint="eastAsia" w:eastAsia="楷体_GB2312"/>
        </w:rPr>
        <w:fldChar w:fldCharType="end"/>
      </w:r>
    </w:p>
    <w:p>
      <w:pPr>
        <w:pStyle w:val="19"/>
        <w:tabs>
          <w:tab w:val="right" w:leader="dot" w:pos="8306"/>
          <w:tab w:val="clear" w:pos="8296"/>
        </w:tabs>
      </w:pPr>
      <w:r>
        <w:rPr>
          <w:rFonts w:hint="eastAsia" w:eastAsia="楷体_GB2312"/>
        </w:rPr>
        <w:fldChar w:fldCharType="begin"/>
      </w:r>
      <w:r>
        <w:rPr>
          <w:rFonts w:hint="eastAsia" w:eastAsia="楷体_GB2312"/>
        </w:rPr>
        <w:instrText xml:space="preserve"> HYPERLINK \l _Toc14849 </w:instrText>
      </w:r>
      <w:r>
        <w:rPr>
          <w:rFonts w:hint="eastAsia" w:eastAsia="楷体_GB2312"/>
        </w:rPr>
        <w:fldChar w:fldCharType="separate"/>
      </w:r>
      <w:r>
        <w:rPr>
          <w:rFonts w:hint="eastAsia"/>
        </w:rPr>
        <w:t>三、主要成效</w:t>
      </w:r>
      <w:r>
        <w:tab/>
      </w:r>
      <w:r>
        <w:fldChar w:fldCharType="begin"/>
      </w:r>
      <w:r>
        <w:instrText xml:space="preserve"> PAGEREF _Toc14849 \h </w:instrText>
      </w:r>
      <w:r>
        <w:fldChar w:fldCharType="separate"/>
      </w:r>
      <w:r>
        <w:t>19</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_Toc9671 </w:instrText>
      </w:r>
      <w:r>
        <w:rPr>
          <w:rFonts w:hint="eastAsia" w:eastAsia="楷体_GB2312"/>
        </w:rPr>
        <w:fldChar w:fldCharType="separate"/>
      </w:r>
      <w:r>
        <w:rPr>
          <w:rFonts w:hint="eastAsia"/>
          <w:bCs w:val="0"/>
          <w:kern w:val="0"/>
        </w:rPr>
        <w:t>（一）产业效益：项目持续补链强链，产值跨越式增长</w:t>
      </w:r>
      <w:r>
        <w:tab/>
      </w:r>
      <w:r>
        <w:fldChar w:fldCharType="begin"/>
      </w:r>
      <w:r>
        <w:instrText xml:space="preserve"> PAGEREF _Toc9671 \h </w:instrText>
      </w:r>
      <w:r>
        <w:fldChar w:fldCharType="separate"/>
      </w:r>
      <w:r>
        <w:t>20</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_Toc8954 </w:instrText>
      </w:r>
      <w:r>
        <w:rPr>
          <w:rFonts w:hint="eastAsia" w:eastAsia="楷体_GB2312"/>
        </w:rPr>
        <w:fldChar w:fldCharType="separate"/>
      </w:r>
      <w:r>
        <w:rPr>
          <w:rFonts w:hint="eastAsia"/>
          <w:bCs w:val="0"/>
          <w:kern w:val="0"/>
        </w:rPr>
        <w:t>（二）经济效益：财政税收效益可观，形成稳定税源</w:t>
      </w:r>
      <w:r>
        <w:tab/>
      </w:r>
      <w:r>
        <w:fldChar w:fldCharType="begin"/>
      </w:r>
      <w:r>
        <w:instrText xml:space="preserve"> PAGEREF _Toc8954 \h </w:instrText>
      </w:r>
      <w:r>
        <w:fldChar w:fldCharType="separate"/>
      </w:r>
      <w:r>
        <w:t>24</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_Toc4477 </w:instrText>
      </w:r>
      <w:r>
        <w:rPr>
          <w:rFonts w:hint="eastAsia" w:eastAsia="楷体_GB2312"/>
        </w:rPr>
        <w:fldChar w:fldCharType="separate"/>
      </w:r>
      <w:r>
        <w:rPr>
          <w:rFonts w:hint="eastAsia"/>
          <w:bCs w:val="0"/>
          <w:kern w:val="0"/>
        </w:rPr>
        <w:t>（三）社会效益：</w:t>
      </w:r>
      <w:r>
        <w:rPr>
          <w:bCs w:val="0"/>
          <w:kern w:val="0"/>
        </w:rPr>
        <w:t>就业带动成效显著，科创人才集聚优势明显</w:t>
      </w:r>
      <w:r>
        <w:tab/>
      </w:r>
      <w:r>
        <w:fldChar w:fldCharType="begin"/>
      </w:r>
      <w:r>
        <w:instrText xml:space="preserve"> PAGEREF _Toc4477 \h </w:instrText>
      </w:r>
      <w:r>
        <w:fldChar w:fldCharType="separate"/>
      </w:r>
      <w:r>
        <w:t>27</w:t>
      </w:r>
      <w:r>
        <w:fldChar w:fldCharType="end"/>
      </w:r>
      <w:r>
        <w:rPr>
          <w:rFonts w:hint="eastAsia" w:eastAsia="楷体_GB2312"/>
        </w:rPr>
        <w:fldChar w:fldCharType="end"/>
      </w:r>
    </w:p>
    <w:p>
      <w:pPr>
        <w:pStyle w:val="19"/>
        <w:tabs>
          <w:tab w:val="right" w:leader="dot" w:pos="8306"/>
          <w:tab w:val="clear" w:pos="8296"/>
        </w:tabs>
      </w:pPr>
      <w:r>
        <w:rPr>
          <w:rFonts w:hint="eastAsia" w:eastAsia="楷体_GB2312"/>
        </w:rPr>
        <w:fldChar w:fldCharType="begin"/>
      </w:r>
      <w:r>
        <w:rPr>
          <w:rFonts w:hint="eastAsia" w:eastAsia="楷体_GB2312"/>
        </w:rPr>
        <w:instrText xml:space="preserve"> HYPERLINK \l _Toc23692 </w:instrText>
      </w:r>
      <w:r>
        <w:rPr>
          <w:rFonts w:hint="eastAsia" w:eastAsia="楷体_GB2312"/>
        </w:rPr>
        <w:fldChar w:fldCharType="separate"/>
      </w:r>
      <w:r>
        <w:rPr>
          <w:rFonts w:hint="eastAsia"/>
        </w:rPr>
        <w:t>四、主要问题</w:t>
      </w:r>
      <w:r>
        <w:tab/>
      </w:r>
      <w:r>
        <w:fldChar w:fldCharType="begin"/>
      </w:r>
      <w:r>
        <w:instrText xml:space="preserve"> PAGEREF _Toc23692 \h </w:instrText>
      </w:r>
      <w:r>
        <w:fldChar w:fldCharType="separate"/>
      </w:r>
      <w:r>
        <w:t>28</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_Toc7368 </w:instrText>
      </w:r>
      <w:r>
        <w:rPr>
          <w:rFonts w:hint="eastAsia" w:eastAsia="楷体_GB2312"/>
        </w:rPr>
        <w:fldChar w:fldCharType="separate"/>
      </w:r>
      <w:r>
        <w:rPr>
          <w:rFonts w:hint="eastAsia"/>
          <w:bCs w:val="0"/>
          <w:kern w:val="0"/>
        </w:rPr>
        <w:t>（一）</w:t>
      </w:r>
      <w:r>
        <w:rPr>
          <w:rFonts w:hint="eastAsia"/>
          <w:bCs w:val="0"/>
        </w:rPr>
        <w:t>预算管理机制有待完善、预算规模有待压减、部分财政奖补资金闲置、奖励兑现时效性有待提升</w:t>
      </w:r>
      <w:r>
        <w:tab/>
      </w:r>
      <w:r>
        <w:fldChar w:fldCharType="begin"/>
      </w:r>
      <w:r>
        <w:instrText xml:space="preserve"> PAGEREF _Toc7368 \h </w:instrText>
      </w:r>
      <w:r>
        <w:fldChar w:fldCharType="separate"/>
      </w:r>
      <w:r>
        <w:t>29</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_Toc2121 </w:instrText>
      </w:r>
      <w:r>
        <w:rPr>
          <w:rFonts w:hint="eastAsia" w:eastAsia="楷体_GB2312"/>
        </w:rPr>
        <w:fldChar w:fldCharType="separate"/>
      </w:r>
      <w:r>
        <w:rPr>
          <w:rFonts w:hint="eastAsia"/>
          <w:bCs w:val="0"/>
          <w:kern w:val="0"/>
        </w:rPr>
        <w:t>（二）部分项目效益未有效转化，项目补贴方式、</w:t>
      </w:r>
      <w:r>
        <w:rPr>
          <w:rFonts w:hint="eastAsia"/>
          <w:bCs w:val="0"/>
        </w:rPr>
        <w:t>培育支撑体系</w:t>
      </w:r>
      <w:r>
        <w:rPr>
          <w:rFonts w:hint="eastAsia"/>
          <w:bCs w:val="0"/>
          <w:kern w:val="0"/>
        </w:rPr>
        <w:t>有待完善</w:t>
      </w:r>
      <w:r>
        <w:tab/>
      </w:r>
      <w:r>
        <w:fldChar w:fldCharType="begin"/>
      </w:r>
      <w:r>
        <w:instrText xml:space="preserve"> PAGEREF _Toc2121 \h </w:instrText>
      </w:r>
      <w:r>
        <w:fldChar w:fldCharType="separate"/>
      </w:r>
      <w:r>
        <w:t>31</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_Toc20443 </w:instrText>
      </w:r>
      <w:r>
        <w:rPr>
          <w:rFonts w:hint="eastAsia" w:eastAsia="楷体_GB2312"/>
        </w:rPr>
        <w:fldChar w:fldCharType="separate"/>
      </w:r>
      <w:r>
        <w:rPr>
          <w:rFonts w:hint="eastAsia"/>
          <w:bCs w:val="0"/>
          <w:kern w:val="0"/>
        </w:rPr>
        <w:t>（三）大赛品牌的宣传思路有待进一步厘清，个别赛道的设立有待商榷</w:t>
      </w:r>
      <w:r>
        <w:tab/>
      </w:r>
      <w:r>
        <w:fldChar w:fldCharType="begin"/>
      </w:r>
      <w:r>
        <w:instrText xml:space="preserve"> PAGEREF _Toc20443 \h </w:instrText>
      </w:r>
      <w:r>
        <w:fldChar w:fldCharType="separate"/>
      </w:r>
      <w:r>
        <w:t>36</w:t>
      </w:r>
      <w:r>
        <w:fldChar w:fldCharType="end"/>
      </w:r>
      <w:r>
        <w:rPr>
          <w:rFonts w:hint="eastAsia" w:eastAsia="楷体_GB2312"/>
        </w:rPr>
        <w:fldChar w:fldCharType="end"/>
      </w:r>
    </w:p>
    <w:p>
      <w:pPr>
        <w:pStyle w:val="19"/>
        <w:tabs>
          <w:tab w:val="right" w:leader="dot" w:pos="8306"/>
          <w:tab w:val="clear" w:pos="8296"/>
        </w:tabs>
      </w:pPr>
      <w:r>
        <w:rPr>
          <w:rFonts w:hint="eastAsia" w:eastAsia="楷体_GB2312"/>
        </w:rPr>
        <w:fldChar w:fldCharType="begin"/>
      </w:r>
      <w:r>
        <w:rPr>
          <w:rFonts w:hint="eastAsia" w:eastAsia="楷体_GB2312"/>
        </w:rPr>
        <w:instrText xml:space="preserve"> HYPERLINK \l _Toc28375 </w:instrText>
      </w:r>
      <w:r>
        <w:rPr>
          <w:rFonts w:hint="eastAsia" w:eastAsia="楷体_GB2312"/>
        </w:rPr>
        <w:fldChar w:fldCharType="separate"/>
      </w:r>
      <w:r>
        <w:rPr>
          <w:rFonts w:hint="eastAsia"/>
        </w:rPr>
        <w:t>五、相关建议</w:t>
      </w:r>
      <w:r>
        <w:tab/>
      </w:r>
      <w:r>
        <w:fldChar w:fldCharType="begin"/>
      </w:r>
      <w:r>
        <w:instrText xml:space="preserve"> PAGEREF _Toc28375 \h </w:instrText>
      </w:r>
      <w:r>
        <w:fldChar w:fldCharType="separate"/>
      </w:r>
      <w:r>
        <w:t>37</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_Toc13561 </w:instrText>
      </w:r>
      <w:r>
        <w:rPr>
          <w:rFonts w:hint="eastAsia" w:eastAsia="楷体_GB2312"/>
        </w:rPr>
        <w:fldChar w:fldCharType="separate"/>
      </w:r>
      <w:r>
        <w:rPr>
          <w:rFonts w:hint="eastAsia"/>
          <w:bCs w:val="0"/>
          <w:kern w:val="0"/>
        </w:rPr>
        <w:t>（一）动态压减项目预算规模，</w:t>
      </w:r>
      <w:r>
        <w:rPr>
          <w:rFonts w:hint="eastAsia"/>
          <w:bCs w:val="0"/>
        </w:rPr>
        <w:t>保障资金精准快速落地</w:t>
      </w:r>
      <w:r>
        <w:tab/>
      </w:r>
      <w:r>
        <w:fldChar w:fldCharType="begin"/>
      </w:r>
      <w:r>
        <w:instrText xml:space="preserve"> PAGEREF _Toc13561 \h </w:instrText>
      </w:r>
      <w:r>
        <w:fldChar w:fldCharType="separate"/>
      </w:r>
      <w:r>
        <w:t>37</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_Toc11458 </w:instrText>
      </w:r>
      <w:r>
        <w:rPr>
          <w:rFonts w:hint="eastAsia" w:eastAsia="楷体_GB2312"/>
        </w:rPr>
        <w:fldChar w:fldCharType="separate"/>
      </w:r>
      <w:r>
        <w:rPr>
          <w:rFonts w:hint="eastAsia"/>
          <w:bCs w:val="0"/>
          <w:kern w:val="0"/>
        </w:rPr>
        <w:t>（二）探索多种投资方式，以“政策</w:t>
      </w:r>
      <w:r>
        <w:rPr>
          <w:bCs w:val="0"/>
          <w:kern w:val="0"/>
        </w:rPr>
        <w:t>+</w:t>
      </w:r>
      <w:r>
        <w:rPr>
          <w:rFonts w:hint="eastAsia"/>
          <w:bCs w:val="0"/>
          <w:kern w:val="0"/>
        </w:rPr>
        <w:t>服务”完善“稳根护根”培育体系</w:t>
      </w:r>
      <w:r>
        <w:tab/>
      </w:r>
      <w:r>
        <w:fldChar w:fldCharType="begin"/>
      </w:r>
      <w:r>
        <w:instrText xml:space="preserve"> PAGEREF _Toc11458 \h </w:instrText>
      </w:r>
      <w:r>
        <w:fldChar w:fldCharType="separate"/>
      </w:r>
      <w:r>
        <w:t>39</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_Toc3213 </w:instrText>
      </w:r>
      <w:r>
        <w:rPr>
          <w:rFonts w:hint="eastAsia" w:eastAsia="楷体_GB2312"/>
        </w:rPr>
        <w:fldChar w:fldCharType="separate"/>
      </w:r>
      <w:r>
        <w:rPr>
          <w:rFonts w:hint="eastAsia"/>
          <w:bCs w:val="0"/>
          <w:kern w:val="0"/>
        </w:rPr>
        <w:t>（三）以创赛品牌构建为导向，构建梯度化的创新源矩阵</w:t>
      </w:r>
      <w:r>
        <w:tab/>
      </w:r>
      <w:r>
        <w:fldChar w:fldCharType="begin"/>
      </w:r>
      <w:r>
        <w:instrText xml:space="preserve"> PAGEREF _Toc3213 \h </w:instrText>
      </w:r>
      <w:r>
        <w:fldChar w:fldCharType="separate"/>
      </w:r>
      <w:r>
        <w:t>42</w:t>
      </w:r>
      <w:r>
        <w:fldChar w:fldCharType="end"/>
      </w:r>
      <w:r>
        <w:rPr>
          <w:rFonts w:hint="eastAsia" w:eastAsia="楷体_GB2312"/>
        </w:rPr>
        <w:fldChar w:fldCharType="end"/>
      </w:r>
    </w:p>
    <w:p>
      <w:pPr>
        <w:pStyle w:val="21"/>
        <w:tabs>
          <w:tab w:val="right" w:leader="dot" w:pos="8306"/>
        </w:tabs>
      </w:pPr>
      <w:r>
        <w:rPr>
          <w:rFonts w:hint="eastAsia" w:eastAsia="楷体_GB2312"/>
        </w:rPr>
        <w:fldChar w:fldCharType="begin"/>
      </w:r>
      <w:r>
        <w:rPr>
          <w:rFonts w:hint="eastAsia" w:eastAsia="楷体_GB2312"/>
        </w:rPr>
        <w:instrText xml:space="preserve"> HYPERLINK \l _Toc26279 </w:instrText>
      </w:r>
      <w:r>
        <w:rPr>
          <w:rFonts w:hint="eastAsia" w:eastAsia="楷体_GB2312"/>
        </w:rPr>
        <w:fldChar w:fldCharType="separate"/>
      </w:r>
      <w:r>
        <w:rPr>
          <w:rFonts w:hint="eastAsia"/>
          <w:bCs w:val="0"/>
          <w:kern w:val="0"/>
        </w:rPr>
        <w:t>（四）激活创新高点强化创新引流，联合行动构建转化培育高地</w:t>
      </w:r>
      <w:r>
        <w:tab/>
      </w:r>
      <w:r>
        <w:fldChar w:fldCharType="begin"/>
      </w:r>
      <w:r>
        <w:instrText xml:space="preserve"> PAGEREF _Toc26279 \h </w:instrText>
      </w:r>
      <w:r>
        <w:fldChar w:fldCharType="separate"/>
      </w:r>
      <w:r>
        <w:t>43</w:t>
      </w:r>
      <w:r>
        <w:fldChar w:fldCharType="end"/>
      </w:r>
      <w:r>
        <w:rPr>
          <w:rFonts w:hint="eastAsia" w:eastAsia="楷体_GB2312"/>
        </w:rPr>
        <w:fldChar w:fldCharType="end"/>
      </w:r>
    </w:p>
    <w:p>
      <w:pPr>
        <w:rPr>
          <w:rFonts w:eastAsia="楷体_GB2312"/>
        </w:rPr>
      </w:pPr>
      <w:r>
        <w:rPr>
          <w:rFonts w:hint="eastAsia" w:eastAsia="楷体_GB2312"/>
        </w:rPr>
        <w:fldChar w:fldCharType="end"/>
      </w: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pPr>
        <w:rPr>
          <w:rFonts w:eastAsia="楷体_GB2312"/>
        </w:rPr>
      </w:pPr>
    </w:p>
    <w:p>
      <w:bookmarkStart w:id="2" w:name="_Toc232169749"/>
      <w:bookmarkStart w:id="3" w:name="_Toc13427"/>
      <w:r>
        <w:rPr>
          <w:rFonts w:hint="eastAsia"/>
        </w:rPr>
        <w:br w:type="page"/>
      </w:r>
    </w:p>
    <w:p>
      <w:pPr>
        <w:pStyle w:val="2"/>
        <w:keepNext w:val="0"/>
        <w:keepLines w:val="0"/>
        <w:pageBreakBefore w:val="0"/>
        <w:widowControl w:val="0"/>
        <w:tabs>
          <w:tab w:val="left" w:pos="5048"/>
        </w:tabs>
        <w:kinsoku/>
        <w:wordWrap/>
        <w:overflowPunct/>
        <w:topLinePunct w:val="0"/>
        <w:autoSpaceDE/>
        <w:autoSpaceDN/>
        <w:bidi w:val="0"/>
        <w:adjustRightInd/>
        <w:snapToGrid/>
        <w:spacing w:line="480" w:lineRule="exact"/>
        <w:jc w:val="center"/>
        <w:textAlignment w:val="auto"/>
      </w:pPr>
      <w:bookmarkStart w:id="4" w:name="_Toc9800"/>
      <w:r>
        <w:rPr>
          <w:rFonts w:hint="eastAsia"/>
        </w:rPr>
        <w:t>摘要</w:t>
      </w:r>
      <w:bookmarkEnd w:id="2"/>
      <w:bookmarkEnd w:id="3"/>
      <w:bookmarkEnd w:id="4"/>
    </w:p>
    <w:p>
      <w:pPr>
        <w:keepNext w:val="0"/>
        <w:keepLines w:val="0"/>
        <w:pageBreakBefore w:val="0"/>
        <w:widowControl w:val="0"/>
        <w:kinsoku/>
        <w:wordWrap/>
        <w:overflowPunct/>
        <w:topLinePunct w:val="0"/>
        <w:autoSpaceDE/>
        <w:autoSpaceDN/>
        <w:bidi w:val="0"/>
        <w:adjustRightInd/>
        <w:snapToGrid/>
        <w:spacing w:line="480" w:lineRule="exact"/>
        <w:textAlignment w:val="auto"/>
      </w:pPr>
      <w:r>
        <w:rPr>
          <w:rFonts w:hint="eastAsia"/>
        </w:rPr>
        <w:t>为评价松山湖创新创业大赛项目举办成效与资金使用效益，评估奖励经费投入产出成效，实现政策优化和经费精细化管控，松山湖国资金融局委托广东中大管理咨询集团股份有限公司，对该项目开展绩效评价，重点分析</w:t>
      </w:r>
      <w:r>
        <w:t>2023-2025</w:t>
      </w:r>
      <w:r>
        <w:rPr>
          <w:rFonts w:hint="eastAsia"/>
        </w:rPr>
        <w:t>年项目情况。经综合评价，</w:t>
      </w:r>
      <w:r>
        <w:t>2023-2025</w:t>
      </w:r>
      <w:r>
        <w:rPr>
          <w:rFonts w:hint="eastAsia"/>
        </w:rPr>
        <w:t>年</w:t>
      </w:r>
      <w:r>
        <w:t>“</w:t>
      </w:r>
      <w:r>
        <w:rPr>
          <w:rFonts w:hint="eastAsia"/>
        </w:rPr>
        <w:t>松湖杯</w:t>
      </w:r>
      <w:r>
        <w:t>”</w:t>
      </w:r>
      <w:r>
        <w:rPr>
          <w:rFonts w:hint="eastAsia"/>
        </w:rPr>
        <w:t>创新创业大赛绩效评价得分</w:t>
      </w:r>
      <w:r>
        <w:t>81.74</w:t>
      </w:r>
      <w:r>
        <w:rPr>
          <w:rFonts w:hint="eastAsia"/>
        </w:rPr>
        <w:t>分，评价等级为</w:t>
      </w:r>
      <w:r>
        <w:t>“</w:t>
      </w:r>
      <w:r>
        <w:rPr>
          <w:rFonts w:hint="eastAsia"/>
        </w:rPr>
        <w:t>良</w:t>
      </w:r>
      <w:r>
        <w:t>”</w:t>
      </w:r>
      <w:r>
        <w:rPr>
          <w:rFonts w:hint="eastAsia"/>
        </w:rPr>
        <w:t>。</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eastAsia="黑体" w:cs="黑体"/>
        </w:rPr>
      </w:pPr>
      <w:r>
        <w:rPr>
          <w:rFonts w:hint="eastAsia" w:eastAsia="黑体" w:cs="黑体"/>
        </w:rPr>
        <w:t>整体实施情况</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0" w:firstLineChars="200"/>
        <w:textAlignment w:val="auto"/>
      </w:pPr>
      <w:r>
        <w:rPr>
          <w:rFonts w:hint="eastAsia"/>
        </w:rPr>
        <w:t>为深入贯彻创新驱动发展战略，加快形成新质生产力，松山湖管委会自2015年以来创办组织“松湖杯”创新创业大赛，历经11年已举办9届赛事（2018年及2022年未举办）。2015年-2025年，大赛累计安排预算14235.48万元，实际支出7671.23万元，预算执行率53.89%。</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0" w:firstLineChars="200"/>
        <w:textAlignment w:val="auto"/>
        <w:rPr>
          <w:b/>
          <w:bCs/>
        </w:rPr>
      </w:pPr>
      <w:r>
        <w:rPr>
          <w:rFonts w:hint="eastAsia"/>
        </w:rPr>
        <w:t>根据松山湖科创局收集的近10年企业经营及项目相关数据，2015-2025年，累计培育获奖项目330个、落地企业238家。其中，上市企业1家，上市后备企业2家，规上企业20家，专精特新企业11家，高新技术企业37家，科技型中小企业22家，引进企业累计总营收约181.88亿元、总税收约5.64亿元。</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eastAsia="黑体" w:cs="黑体"/>
        </w:rPr>
      </w:pPr>
      <w:r>
        <w:rPr>
          <w:rFonts w:hint="eastAsia" w:eastAsia="黑体" w:cs="黑体"/>
        </w:rPr>
        <w:t>工作成效</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textAlignment w:val="auto"/>
      </w:pPr>
      <w:r>
        <w:rPr>
          <w:rFonts w:hint="eastAsia"/>
          <w:b/>
          <w:bCs/>
        </w:rPr>
        <w:t>1. 产业效益方面，项目持续补链强链，产值跨越式增长。</w:t>
      </w:r>
      <w:r>
        <w:rPr>
          <w:rFonts w:hint="eastAsia"/>
        </w:rPr>
        <w:t xml:space="preserve">产业分布高度聚焦主导赛道，与园区 “1+4+1+X” 主导产业定位高度契合，形成了清晰的产业集群格局。引进企业分布赛道中，机器人产业为绝对支柱（33.70%），新材料与新能源（18.54%）、新一代信息技术与智能网联汽车（16.29%）、生物医药与健康（16.29%）为第二梯队，合计占比超 50%。 </w:t>
      </w:r>
      <w:r>
        <w:rPr>
          <w:rFonts w:hint="eastAsia"/>
          <w:b/>
          <w:bCs/>
        </w:rPr>
        <w:t>2. 经济效益方面，财政税收效益可观，形成稳定税源。</w:t>
      </w:r>
      <w:r>
        <w:rPr>
          <w:rFonts w:hint="eastAsia"/>
        </w:rPr>
        <w:t>2015-2025年存续项目累计创税规模为</w:t>
      </w:r>
      <w:r>
        <w:t>56413.56</w:t>
      </w:r>
      <w:r>
        <w:rPr>
          <w:rFonts w:hint="eastAsia"/>
        </w:rPr>
        <w:t>万元，累计赛事奖励企业及载体共计3885万元，累计财政投入（含赛事组织费及赛事奖励费）7671.23万元，累计税收/累计财政投入比为</w:t>
      </w:r>
      <w:r>
        <w:t>7.35</w:t>
      </w:r>
      <w:r>
        <w:rPr>
          <w:rFonts w:hint="eastAsia"/>
        </w:rPr>
        <w:t>；剔除赛事组织费后，累计税收/累计赛事奖励投入比为</w:t>
      </w:r>
      <w:r>
        <w:t>14.52</w:t>
      </w:r>
      <w:r>
        <w:rPr>
          <w:rFonts w:hint="eastAsia"/>
        </w:rPr>
        <w:t>。</w:t>
      </w:r>
      <w:r>
        <w:rPr>
          <w:rFonts w:hint="eastAsia"/>
          <w:b/>
          <w:bCs/>
        </w:rPr>
        <w:t>3.社会效益方面，就业带动成效显著，科创人才集聚优势明显。</w:t>
      </w:r>
      <w:r>
        <w:rPr>
          <w:rFonts w:hint="eastAsia"/>
        </w:rPr>
        <w:t>到2025年，引进企业新增就业岗位2937人，其中科技人员占比29.96%，助力园区人才结构升级。</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eastAsia="黑体" w:cs="黑体"/>
        </w:rPr>
      </w:pPr>
      <w:r>
        <w:rPr>
          <w:rFonts w:hint="eastAsia" w:eastAsia="黑体" w:cs="黑体"/>
        </w:rPr>
        <w:t>存在问题</w:t>
      </w:r>
    </w:p>
    <w:p>
      <w:pPr>
        <w:keepNext w:val="0"/>
        <w:keepLines w:val="0"/>
        <w:pageBreakBefore w:val="0"/>
        <w:widowControl w:val="0"/>
        <w:kinsoku/>
        <w:wordWrap/>
        <w:overflowPunct/>
        <w:topLinePunct w:val="0"/>
        <w:autoSpaceDE/>
        <w:autoSpaceDN/>
        <w:bidi w:val="0"/>
        <w:adjustRightInd/>
        <w:snapToGrid/>
        <w:spacing w:line="480" w:lineRule="exact"/>
        <w:ind w:firstLine="643"/>
        <w:textAlignment w:val="auto"/>
      </w:pPr>
      <w:r>
        <w:rPr>
          <w:rFonts w:hint="eastAsia"/>
          <w:b/>
          <w:bCs/>
        </w:rPr>
        <w:t>（一）预算管理机制有待完善、预算规模有待压减、财政奖补资金闲置、奖励兑现时效性有待提升。一是</w:t>
      </w:r>
      <w:r>
        <w:rPr>
          <w:rFonts w:hint="eastAsia"/>
        </w:rPr>
        <w:t>赛事自 2015 年已运行十年，流程、资源、经验等均已成熟完善，无需按全新赛事标准全额列支，但历年预算未结合既有工作基础优化压缩。</w:t>
      </w:r>
      <w:r>
        <w:rPr>
          <w:rFonts w:hint="eastAsia"/>
          <w:b/>
          <w:bCs/>
        </w:rPr>
        <w:t>二是</w:t>
      </w:r>
      <w:r>
        <w:rPr>
          <w:rFonts w:hint="eastAsia"/>
        </w:rPr>
        <w:t>企业落地奖励经费按获奖项目数全额编制预算，实际上获奖项目并未全部落地，预算安排出现较大冗余。</w:t>
      </w:r>
      <w:r>
        <w:rPr>
          <w:rFonts w:hint="eastAsia"/>
          <w:b/>
          <w:bCs/>
        </w:rPr>
        <w:t>三是</w:t>
      </w:r>
      <w:r>
        <w:rPr>
          <w:rFonts w:hint="eastAsia"/>
        </w:rPr>
        <w:t>个别奖项的兑付和执行速度偏慢，不利于支持引入项目的发展。</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0" w:firstLineChars="200"/>
        <w:textAlignment w:val="auto"/>
      </w:pPr>
      <w:r>
        <w:rPr>
          <w:rFonts w:hint="eastAsia"/>
        </w:rPr>
        <w:t>（二）</w:t>
      </w:r>
      <w:r>
        <w:rPr>
          <w:rFonts w:hint="eastAsia"/>
          <w:b/>
          <w:bCs/>
        </w:rPr>
        <w:t>部分项目未有效转化，项目补贴方式、培育支撑体系有待完善。一方面，</w:t>
      </w:r>
      <w:r>
        <w:rPr>
          <w:rFonts w:hint="eastAsia"/>
        </w:rPr>
        <w:t>创赛举办以来，存在部分项目未成功或流失，部分外部引进项目因缺乏本地基础导致经营不善，部分项目因园区生产成本优势不明显或获得其他投资后迁出园区</w:t>
      </w:r>
      <w:r>
        <w:rPr>
          <w:rFonts w:hint="eastAsia"/>
          <w:color w:val="auto"/>
          <w:lang w:eastAsia="zh-CN"/>
        </w:rPr>
        <w:t>（</w:t>
      </w:r>
      <w:r>
        <w:rPr>
          <w:rFonts w:hint="eastAsia"/>
          <w:color w:val="auto"/>
          <w:lang w:val="en-US" w:eastAsia="zh-CN"/>
        </w:rPr>
        <w:t>据统计，外迁至市外企业共4家</w:t>
      </w:r>
      <w:r>
        <w:rPr>
          <w:rFonts w:hint="eastAsia"/>
          <w:color w:val="auto"/>
          <w:lang w:eastAsia="zh-CN"/>
        </w:rPr>
        <w:t>）</w:t>
      </w:r>
      <w:r>
        <w:rPr>
          <w:rFonts w:hint="eastAsia"/>
        </w:rPr>
        <w:t>。</w:t>
      </w:r>
      <w:r>
        <w:rPr>
          <w:rFonts w:hint="eastAsia"/>
          <w:b/>
          <w:bCs/>
        </w:rPr>
        <w:t>另一方面，</w:t>
      </w:r>
      <w:r>
        <w:rPr>
          <w:rFonts w:hint="eastAsia"/>
        </w:rPr>
        <w:t>引入项目的培育支撑体系、补贴方式仍有完善空间。引进项目扶持侧重资金奖励和租金补贴，相较于广深，扶持手段比较单一，难以发挥财政资金最大效益，项目基金投资较少，补改投方式应用不足；缺乏中试验证场地和场景应用支持；培育支撑体系有待完善。</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firstLineChars="200"/>
        <w:textAlignment w:val="auto"/>
      </w:pPr>
      <w:r>
        <w:rPr>
          <w:rFonts w:hint="eastAsia"/>
          <w:b/>
          <w:bCs/>
        </w:rPr>
        <w:t>（三） 大赛品牌的宣传思路有待进一步厘清，个别赛道的设立有待商榷</w:t>
      </w:r>
      <w:r>
        <w:rPr>
          <w:rFonts w:hint="eastAsia"/>
        </w:rPr>
        <w:t>。</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3" w:firstLine="643" w:firstLineChars="0"/>
        <w:textAlignment w:val="auto"/>
        <w:rPr>
          <w:rFonts w:eastAsia="黑体" w:cs="黑体"/>
        </w:rPr>
      </w:pPr>
      <w:r>
        <w:rPr>
          <w:rFonts w:hint="eastAsia" w:eastAsia="黑体" w:cs="黑体"/>
        </w:rPr>
        <w:t>主要建议</w:t>
      </w:r>
    </w:p>
    <w:p>
      <w:pPr>
        <w:keepNext w:val="0"/>
        <w:keepLines w:val="0"/>
        <w:pageBreakBefore w:val="0"/>
        <w:widowControl w:val="0"/>
        <w:kinsoku/>
        <w:wordWrap/>
        <w:overflowPunct/>
        <w:topLinePunct w:val="0"/>
        <w:autoSpaceDE/>
        <w:autoSpaceDN/>
        <w:bidi w:val="0"/>
        <w:adjustRightInd/>
        <w:snapToGrid/>
        <w:spacing w:line="480" w:lineRule="exact"/>
        <w:ind w:firstLine="643"/>
        <w:textAlignment w:val="auto"/>
      </w:pPr>
      <w:r>
        <w:rPr>
          <w:rFonts w:hint="eastAsia"/>
          <w:b/>
          <w:bCs/>
        </w:rPr>
        <w:t>（一）动态压减项目预算规模，保障资金精准快速落地</w:t>
      </w:r>
      <w:r>
        <w:rPr>
          <w:rFonts w:hint="eastAsia"/>
        </w:rPr>
        <w:t>：一是建立赛事组织预算动态精细化管理机制，每年度在上一年度预算基础上结合实际落地转化率、资金执行率成效，逐年压减每年固定支出的办赛经费预算；二是摒弃理想化测算方式，基于历年各类奖项执行率的精准测算赛事奖励预算；三是建立动态督办机制，保障资金精准快速落地；四是继续完善贴合奖项兑现周期的预算动态申报机制。</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textAlignment w:val="auto"/>
      </w:pPr>
      <w:r>
        <w:rPr>
          <w:rFonts w:hint="eastAsia"/>
          <w:b/>
          <w:bCs/>
        </w:rPr>
        <w:t>（二）探索多种投资方式，以“政策</w:t>
      </w:r>
      <w:r>
        <w:rPr>
          <w:b/>
          <w:bCs/>
        </w:rPr>
        <w:t>+</w:t>
      </w:r>
      <w:r>
        <w:rPr>
          <w:rFonts w:hint="eastAsia"/>
          <w:b/>
          <w:bCs/>
        </w:rPr>
        <w:t>服务”完善“稳根护根”培育体系</w:t>
      </w:r>
      <w:r>
        <w:rPr>
          <w:rFonts w:hint="eastAsia"/>
        </w:rPr>
        <w:t>：一是完善基金投资，探索补改投方式，丰富资金扶持手段，锁定财政资金和企业发展的长期效益；二是聚焦“稳根护根”导向，形成招商稳商合力，让优质项目在本地扎根；三是借助合作创新采购，部门联动搭建“场景开放+产业链融通”赋能平台</w:t>
      </w:r>
      <w:r>
        <w:rPr>
          <w:rFonts w:hint="eastAsia"/>
          <w:b/>
          <w:bCs/>
        </w:rPr>
        <w:t>；</w:t>
      </w:r>
      <w:r>
        <w:rPr>
          <w:rFonts w:hint="eastAsia"/>
        </w:rPr>
        <w:t>四是有针对性建立园区外部引入项目细分培养机制，以提高其本地化适应能力，提高成活率；五是</w:t>
      </w:r>
      <w:r>
        <w:t>立足现有全周期政策体系，强化“政策服务最后一公里”。</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textAlignment w:val="auto"/>
        <w:rPr>
          <w:b/>
          <w:bCs/>
        </w:rPr>
      </w:pPr>
      <w:r>
        <w:rPr>
          <w:rFonts w:hint="eastAsia"/>
          <w:b/>
          <w:bCs/>
        </w:rPr>
        <w:t>（三）以创赛品牌构建为导向，构建梯度化的创新源矩阵。一是</w:t>
      </w:r>
      <w:r>
        <w:rPr>
          <w:rFonts w:hint="eastAsia"/>
        </w:rPr>
        <w:t>固化核心宣传圈层，搭建稳定长效创新引入渠道。</w:t>
      </w:r>
      <w:r>
        <w:rPr>
          <w:rFonts w:hint="eastAsia"/>
          <w:b/>
          <w:bCs/>
        </w:rPr>
        <w:t>二是</w:t>
      </w:r>
      <w:r>
        <w:rPr>
          <w:rFonts w:hint="eastAsia"/>
        </w:rPr>
        <w:t>梳理分层宣传体系，构建精准化梯度化宣传格局。</w:t>
      </w:r>
      <w:r>
        <w:rPr>
          <w:rFonts w:hint="eastAsia"/>
          <w:b/>
          <w:bCs/>
        </w:rPr>
        <w:t>三是</w:t>
      </w:r>
      <w:r>
        <w:rPr>
          <w:rFonts w:hint="eastAsia"/>
        </w:rPr>
        <w:t>优化赛事赛道设置，聚焦产业导向提升办赛专业性。</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textAlignment w:val="auto"/>
        <w:rPr>
          <w:rFonts w:hint="eastAsia"/>
          <w:b/>
          <w:bCs/>
        </w:rPr>
      </w:pPr>
      <w:r>
        <w:rPr>
          <w:rFonts w:hint="eastAsia"/>
          <w:b/>
          <w:bCs/>
          <w:lang w:eastAsia="zh-CN"/>
        </w:rPr>
        <w:t>（</w:t>
      </w:r>
      <w:r>
        <w:rPr>
          <w:rFonts w:hint="eastAsia"/>
          <w:b/>
          <w:bCs/>
          <w:lang w:val="en-US" w:eastAsia="zh-CN"/>
        </w:rPr>
        <w:t>四</w:t>
      </w:r>
      <w:r>
        <w:rPr>
          <w:rFonts w:hint="eastAsia"/>
          <w:b/>
          <w:bCs/>
          <w:lang w:eastAsia="zh-CN"/>
        </w:rPr>
        <w:t>）</w:t>
      </w:r>
      <w:r>
        <w:rPr>
          <w:rFonts w:hint="eastAsia"/>
          <w:b/>
          <w:bCs/>
        </w:rPr>
        <w:t>激活创新高点强化创新引流，联合行动构建转化培育高地</w:t>
      </w:r>
    </w:p>
    <w:p>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643"/>
        <w:textAlignment w:val="auto"/>
        <w:rPr>
          <w:rFonts w:hint="eastAsia"/>
        </w:rPr>
      </w:pPr>
      <w:r>
        <w:rPr>
          <w:rFonts w:hint="eastAsia"/>
        </w:rPr>
        <w:t>一是多方联动</w:t>
      </w:r>
      <w:r>
        <w:rPr>
          <w:rFonts w:hint="eastAsia"/>
          <w:lang w:eastAsia="zh-CN"/>
        </w:rPr>
        <w:t>，</w:t>
      </w:r>
      <w:r>
        <w:rPr>
          <w:rFonts w:hint="eastAsia"/>
        </w:rPr>
        <w:t>拓宽赛事报名渠道</w:t>
      </w:r>
      <w:r>
        <w:rPr>
          <w:rFonts w:hint="eastAsia"/>
          <w:lang w:eastAsia="zh-CN"/>
        </w:rPr>
        <w:t>。</w:t>
      </w:r>
      <w:r>
        <w:rPr>
          <w:rFonts w:hint="eastAsia"/>
        </w:rPr>
        <w:t>二是</w:t>
      </w:r>
      <w:r>
        <w:rPr>
          <w:rFonts w:hint="eastAsia"/>
          <w:lang w:val="en-US" w:eastAsia="zh-CN"/>
        </w:rPr>
        <w:t>用好园区院士专家及企业家资源，</w:t>
      </w:r>
      <w:r>
        <w:rPr>
          <w:rFonts w:hint="eastAsia"/>
        </w:rPr>
        <w:t>强化赛事吸引力。三是线下闭环</w:t>
      </w:r>
      <w:r>
        <w:rPr>
          <w:rFonts w:hint="eastAsia"/>
          <w:lang w:eastAsia="zh-CN"/>
        </w:rPr>
        <w:t>，</w:t>
      </w:r>
      <w:r>
        <w:rPr>
          <w:rFonts w:hint="eastAsia"/>
        </w:rPr>
        <w:t>提升落地转化成效。</w:t>
      </w:r>
    </w:p>
    <w:p>
      <w:pPr>
        <w:rPr>
          <w:rFonts w:hint="eastAsia" w:eastAsia="方正小标宋简体" w:cs="方正小标宋简体"/>
          <w:sz w:val="44"/>
          <w:szCs w:val="44"/>
        </w:rPr>
      </w:pPr>
      <w:r>
        <w:rPr>
          <w:rFonts w:hint="eastAsia"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eastAsia="方正小标宋简体" w:cs="方正小标宋简体"/>
          <w:sz w:val="44"/>
          <w:szCs w:val="44"/>
        </w:rPr>
        <w:sectPr>
          <w:footerReference r:id="rId12" w:type="default"/>
          <w:type w:val="continuous"/>
          <w:pgSz w:w="11906" w:h="16838"/>
          <w:pgMar w:top="1440" w:right="1800" w:bottom="1440" w:left="1800" w:header="851" w:footer="992" w:gutter="0"/>
          <w:pgNumType w:fmt="upperRoman"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方正小标宋简体" w:cs="方正小标宋简体"/>
          <w:sz w:val="44"/>
          <w:szCs w:val="44"/>
        </w:rPr>
      </w:pPr>
      <w:r>
        <w:rPr>
          <w:rFonts w:hint="eastAsia" w:eastAsia="方正小标宋简体" w:cs="方正小标宋简体"/>
          <w:sz w:val="44"/>
          <w:szCs w:val="44"/>
        </w:rPr>
        <w:t>松山湖创新创业大赛项目</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方正小标宋简体" w:cs="方正小标宋简体"/>
          <w:sz w:val="44"/>
          <w:szCs w:val="44"/>
        </w:rPr>
      </w:pPr>
      <w:r>
        <w:rPr>
          <w:rFonts w:hint="eastAsia" w:eastAsia="方正小标宋简体" w:cs="方正小标宋简体"/>
          <w:sz w:val="44"/>
          <w:szCs w:val="44"/>
        </w:rPr>
        <w:t>重点绩效评价报告</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bookmarkStart w:id="5" w:name="OLE_LINK31"/>
      <w:r>
        <w:rPr>
          <w:rFonts w:hint="eastAsia"/>
        </w:rPr>
        <w:t>为评价松山湖创新创业大赛项目（以下简称“创赛”）举办成效与资金使用效益，评估奖励经费投入产出成效，实现政策优化和经费精细化管控，松山湖国资金融局委托广东中大管理咨询集团股份有限公司（以下简称“中大咨询”），对该项目开展绩效评价，重点分析2023-2025年项目情况。</w:t>
      </w:r>
      <w:bookmarkEnd w:id="5"/>
      <w:r>
        <w:rPr>
          <w:rFonts w:hint="eastAsia"/>
        </w:rPr>
        <w:t>具体如下：</w:t>
      </w:r>
    </w:p>
    <w:p>
      <w:pPr>
        <w:pStyle w:val="2"/>
        <w:keepNext w:val="0"/>
        <w:keepLines w:val="0"/>
        <w:pageBreakBefore w:val="0"/>
        <w:widowControl w:val="0"/>
        <w:tabs>
          <w:tab w:val="left" w:pos="5048"/>
        </w:tabs>
        <w:kinsoku/>
        <w:wordWrap/>
        <w:overflowPunct/>
        <w:topLinePunct w:val="0"/>
        <w:autoSpaceDE/>
        <w:autoSpaceDN/>
        <w:bidi w:val="0"/>
        <w:adjustRightInd/>
        <w:snapToGrid/>
        <w:spacing w:line="560" w:lineRule="exact"/>
        <w:ind w:firstLine="640"/>
        <w:textAlignment w:val="auto"/>
      </w:pPr>
      <w:bookmarkStart w:id="6" w:name="_Toc109656195"/>
      <w:bookmarkStart w:id="7" w:name="_Toc232169750"/>
      <w:bookmarkStart w:id="8" w:name="_Toc117539145"/>
      <w:bookmarkStart w:id="9" w:name="_Toc15640"/>
      <w:bookmarkStart w:id="10" w:name="_Toc1612"/>
      <w:r>
        <w:rPr>
          <w:rFonts w:hint="eastAsia"/>
        </w:rPr>
        <w:t>一、项目基本情况</w:t>
      </w:r>
      <w:bookmarkEnd w:id="6"/>
      <w:bookmarkEnd w:id="7"/>
      <w:bookmarkEnd w:id="8"/>
      <w:bookmarkEnd w:id="9"/>
      <w:bookmarkEnd w:id="10"/>
      <w:r>
        <w:tab/>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11" w:name="_Toc117539146"/>
      <w:bookmarkStart w:id="12" w:name="_Toc4171"/>
      <w:bookmarkStart w:id="13" w:name="_Toc109656196"/>
      <w:bookmarkStart w:id="14" w:name="_Toc28684"/>
      <w:bookmarkStart w:id="15" w:name="_Toc5847"/>
      <w:bookmarkStart w:id="16" w:name="_Toc232169751"/>
      <w:bookmarkStart w:id="17" w:name="_Toc26564"/>
      <w:bookmarkStart w:id="18" w:name="_Toc26740"/>
      <w:r>
        <w:rPr>
          <w:rFonts w:hint="eastAsia"/>
          <w:kern w:val="0"/>
        </w:rPr>
        <w:t>（一）</w:t>
      </w:r>
      <w:bookmarkEnd w:id="11"/>
      <w:bookmarkEnd w:id="12"/>
      <w:bookmarkEnd w:id="13"/>
      <w:bookmarkEnd w:id="14"/>
      <w:bookmarkEnd w:id="15"/>
      <w:r>
        <w:rPr>
          <w:rFonts w:hint="eastAsia"/>
          <w:kern w:val="0"/>
        </w:rPr>
        <w:t>项目概况</w:t>
      </w:r>
      <w:bookmarkEnd w:id="16"/>
      <w:bookmarkEnd w:id="17"/>
      <w:bookmarkEnd w:id="18"/>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为深入贯彻创新驱动发展战略，形成浓厚的创新创业氛围，强化湾区创新融合发展，加快形成新质生产力，促进松山湖科学城焕发高质量发展新气象，松山湖管委会自2015年以来创办组织“松湖杯”创新创业大赛，历经11年已举办9届赛事（2018年及2022年未举办）。</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创赛已逐渐成为集项目落地、技术交流、成果展示、资金对接、产业服务等多种功能于一体的综合服务平台。吸引了众多优秀创新创业项目报名参与，涌现出一大批技术实力强、市场前景广的创业项目，成为松山湖创新创业的品牌活动。</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根据松山湖科创局收集的近10年企业经营及项目相关数据，2015-2025年，大赛总投入近8000万，</w:t>
      </w:r>
      <w:bookmarkStart w:id="19" w:name="_Hlk231994729"/>
      <w:r>
        <w:rPr>
          <w:rFonts w:hint="eastAsia"/>
        </w:rPr>
        <w:t>累计培育获奖项目330个、落地企业238家。其中，上市企业1家，上市后备企业2家，规上企业20家，专精特新企业11家，高新技术企业37家，科技型中小企业22家，引进企业累计总营收约181.88亿元、总税收约</w:t>
      </w:r>
      <w:r>
        <w:t>5.64</w:t>
      </w:r>
      <w:r>
        <w:rPr>
          <w:rFonts w:hint="eastAsia"/>
        </w:rPr>
        <w:t>亿元。大赛重点布局机器人与智能装备制造、生物医药与健康、新材料与新能源、新一代信息技术等战略新兴产业领域，为松山湖产业转型升级、新质生产力培育提供了重要支撑。</w:t>
      </w:r>
    </w:p>
    <w:bookmarkEnd w:id="19"/>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20" w:name="_Toc20034"/>
      <w:bookmarkStart w:id="21" w:name="_Toc232169752"/>
      <w:bookmarkStart w:id="22" w:name="_Toc16171"/>
      <w:r>
        <w:rPr>
          <w:rFonts w:hint="eastAsia"/>
          <w:kern w:val="0"/>
        </w:rPr>
        <w:t>（二）项目组织实施过程</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松山湖创新创业大赛全年赛事流程主要分为启动阶段、园区载体初赛阶段、落地成果转化阶段、决赛颁奖阶段、赛后服务阶段及长期跟踪服务六个阶段，形成了“赛前广泛招募、赛中择优培育、赛后持续赋能、长期跟踪评估”的完整赛事运营体系。以2023年 为例，具体举办流程如下：</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一是赛事启动阶段（4月-5月）。主要开展赛事启动发布、初赛申报组织及全域赛事宣贯工作。通过举办启动仪式，正式发布全年赛事安排及配套扶持政策；依托松山湖各园区载体开展初赛承办申报，明确各载体赛事工作职责；同时在北京、上海、成都、武汉、西安、深圳、香港等多个重点科创城市开展赛事宣贯，广泛吸纳外部优质科创项目资源，扩大赛事外部影响力。</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二是园区载体初赛阶段（6月-7月）。以园区载体为单元开展初赛遴选工作，明确各载体报名项目数量底线要求，确保项目储备基数。赛事期间，组织行业辅导专家、园区运营团队对参赛项目开展常态化对接辅导，提前摸排项目落地意向，同步开展产业资源、投融资资源初步对接。各载体结合项目质量与落地意愿，按报名总量的固定比例择优推荐优质项目晋级决赛，实现从海量项目中筛选优质潜力项目。</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三是落地成果转化期（8月-9月）。聚焦项目提质培育与成果转化，组委会联动龙头企业、投资机构、科研院所专家，对晋级项目开展一对一精准辅导、产融深度对接，引导项目优化技术方案、商业模式与产业化路径，推动优质项目抱团组队、资源整合，全面提升参赛项目产业化质量与落地可行性，为决赛评审及后续落地转化奠定基础。</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四是决赛及颁奖典礼阶段（9月-10月）。采用分赛道竞赛模式，围绕六大产业领域开展决赛比拼，按赛事规则评选出优胜项目，并颁发决赛50强先锋奖等对应奖项，完成年度赛事评优表彰，正式确定获奖扶持项目名单。</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五是赛后集中服务期（10月-12月）。针对获奖项目开展落地配套服务，重点推进项目落地辅导、赛事奖励奖金申报兑付、投融资对接、产业链资源对接等全链条服务，加快获奖项目落地转化速度，切实发挥赛事政策与服务的扶持效能。</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六是长期跟踪服务期（赛后两年持续开展）。建立赛后长效跟踪机制，在项目落地后连续两年开展常态化走访调研，动态掌握企业孵化成长情况、经营发展诉求、赛事奖励兑现进度及政策扶持落地成效，持续补齐企业发展短板，同步复盘赛事培育体系的有效性，实现赛事引育项目的全周期闭环管理。</w:t>
      </w:r>
    </w:p>
    <w:p>
      <w:pPr>
        <w:ind w:firstLine="560"/>
        <w:jc w:val="center"/>
        <w:rPr>
          <w:rFonts w:hint="eastAsia" w:eastAsia="黑体"/>
          <w:sz w:val="28"/>
          <w:szCs w:val="28"/>
        </w:rPr>
      </w:pPr>
    </w:p>
    <w:p>
      <w:pPr>
        <w:ind w:firstLine="560"/>
        <w:jc w:val="center"/>
        <w:rPr>
          <w:rFonts w:eastAsia="黑体"/>
          <w:sz w:val="28"/>
          <w:szCs w:val="28"/>
        </w:rPr>
      </w:pPr>
      <w:r>
        <w:rPr>
          <w:rFonts w:hint="eastAsia" w:eastAsia="黑体"/>
          <w:sz w:val="28"/>
          <w:szCs w:val="28"/>
        </w:rPr>
        <w:t>表1-1 项目组织实施过程（以2023年为例）</w:t>
      </w:r>
    </w:p>
    <w:tbl>
      <w:tblPr>
        <w:tblStyle w:val="24"/>
        <w:tblW w:w="8968" w:type="dxa"/>
        <w:jc w:val="center"/>
        <w:tblLayout w:type="autofit"/>
        <w:tblCellMar>
          <w:top w:w="0" w:type="dxa"/>
          <w:left w:w="108" w:type="dxa"/>
          <w:bottom w:w="0" w:type="dxa"/>
          <w:right w:w="108" w:type="dxa"/>
        </w:tblCellMar>
      </w:tblPr>
      <w:tblGrid>
        <w:gridCol w:w="2088"/>
        <w:gridCol w:w="2360"/>
        <w:gridCol w:w="4520"/>
      </w:tblGrid>
      <w:tr>
        <w:tblPrEx>
          <w:tblCellMar>
            <w:top w:w="0" w:type="dxa"/>
            <w:left w:w="108" w:type="dxa"/>
            <w:bottom w:w="0" w:type="dxa"/>
            <w:right w:w="108" w:type="dxa"/>
          </w:tblCellMar>
        </w:tblPrEx>
        <w:trPr>
          <w:trHeight w:val="432" w:hRule="atLeast"/>
          <w:tblHeader/>
          <w:jc w:val="center"/>
        </w:trPr>
        <w:tc>
          <w:tcPr>
            <w:tcW w:w="2088"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赛程安排</w:t>
            </w:r>
          </w:p>
        </w:tc>
        <w:tc>
          <w:tcPr>
            <w:tcW w:w="2360"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主要事项</w:t>
            </w:r>
          </w:p>
        </w:tc>
        <w:tc>
          <w:tcPr>
            <w:tcW w:w="4520"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主要内容</w:t>
            </w:r>
          </w:p>
        </w:tc>
      </w:tr>
      <w:tr>
        <w:tblPrEx>
          <w:tblCellMar>
            <w:top w:w="0" w:type="dxa"/>
            <w:left w:w="108" w:type="dxa"/>
            <w:bottom w:w="0" w:type="dxa"/>
            <w:right w:w="108" w:type="dxa"/>
          </w:tblCellMar>
        </w:tblPrEx>
        <w:trPr>
          <w:trHeight w:val="333" w:hRule="atLeast"/>
          <w:jc w:val="center"/>
        </w:trPr>
        <w:tc>
          <w:tcPr>
            <w:tcW w:w="2088" w:type="dxa"/>
            <w:vMerge w:val="restart"/>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启动阶段</w:t>
            </w:r>
            <w:r>
              <w:rPr>
                <w:rFonts w:cs="宋体"/>
                <w:color w:val="000000"/>
                <w:kern w:val="0"/>
                <w:sz w:val="24"/>
                <w:szCs w:val="24"/>
              </w:rPr>
              <w:br w:type="textWrapping"/>
            </w:r>
            <w:r>
              <w:rPr>
                <w:rFonts w:cs="宋体"/>
                <w:color w:val="000000"/>
                <w:kern w:val="0"/>
                <w:sz w:val="24"/>
                <w:szCs w:val="24"/>
              </w:rPr>
              <w:t>（4月-5月）</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启动仪式</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赛事安排及配套服务措施发布等</w:t>
            </w:r>
          </w:p>
        </w:tc>
      </w:tr>
      <w:tr>
        <w:tblPrEx>
          <w:tblCellMar>
            <w:top w:w="0" w:type="dxa"/>
            <w:left w:w="108" w:type="dxa"/>
            <w:bottom w:w="0" w:type="dxa"/>
            <w:right w:w="108" w:type="dxa"/>
          </w:tblCellMar>
        </w:tblPrEx>
        <w:trPr>
          <w:trHeight w:val="483" w:hRule="atLeast"/>
          <w:jc w:val="center"/>
        </w:trPr>
        <w:tc>
          <w:tcPr>
            <w:tcW w:w="2088"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初赛申报工作</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由松山湖区域内的园区载体自主申报承办初赛</w:t>
            </w:r>
          </w:p>
        </w:tc>
      </w:tr>
      <w:tr>
        <w:tblPrEx>
          <w:tblCellMar>
            <w:top w:w="0" w:type="dxa"/>
            <w:left w:w="108" w:type="dxa"/>
            <w:bottom w:w="0" w:type="dxa"/>
            <w:right w:w="108" w:type="dxa"/>
          </w:tblCellMar>
        </w:tblPrEx>
        <w:trPr>
          <w:trHeight w:val="348" w:hRule="atLeast"/>
          <w:jc w:val="center"/>
        </w:trPr>
        <w:tc>
          <w:tcPr>
            <w:tcW w:w="2088"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赛事宣贯会</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北京、上海、成都、武汉、西安、深圳、香港七个城市举办宣贯会</w:t>
            </w:r>
          </w:p>
        </w:tc>
      </w:tr>
      <w:tr>
        <w:tblPrEx>
          <w:tblCellMar>
            <w:top w:w="0" w:type="dxa"/>
            <w:left w:w="108" w:type="dxa"/>
            <w:bottom w:w="0" w:type="dxa"/>
            <w:right w:w="108" w:type="dxa"/>
          </w:tblCellMar>
        </w:tblPrEx>
        <w:trPr>
          <w:trHeight w:val="705" w:hRule="atLeast"/>
          <w:jc w:val="center"/>
        </w:trPr>
        <w:tc>
          <w:tcPr>
            <w:tcW w:w="2088" w:type="dxa"/>
            <w:vMerge w:val="restart"/>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园区载体初赛</w:t>
            </w:r>
            <w:r>
              <w:rPr>
                <w:rFonts w:cs="宋体"/>
                <w:color w:val="000000"/>
                <w:kern w:val="0"/>
                <w:sz w:val="24"/>
                <w:szCs w:val="24"/>
              </w:rPr>
              <w:br w:type="textWrapping"/>
            </w:r>
            <w:r>
              <w:rPr>
                <w:rFonts w:cs="宋体"/>
                <w:color w:val="000000"/>
                <w:kern w:val="0"/>
                <w:sz w:val="24"/>
                <w:szCs w:val="24"/>
              </w:rPr>
              <w:t>（6月-7月）</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园区载体初赛</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每个载体报名项目需不低于60个。由园区组织辅导专家、运营人员对接，接洽落地意向，对接产融资源等。</w:t>
            </w:r>
          </w:p>
        </w:tc>
      </w:tr>
      <w:tr>
        <w:tblPrEx>
          <w:tblCellMar>
            <w:top w:w="0" w:type="dxa"/>
            <w:left w:w="108" w:type="dxa"/>
            <w:bottom w:w="0" w:type="dxa"/>
            <w:right w:w="108" w:type="dxa"/>
          </w:tblCellMar>
        </w:tblPrEx>
        <w:trPr>
          <w:trHeight w:val="678" w:hRule="atLeast"/>
          <w:jc w:val="center"/>
        </w:trPr>
        <w:tc>
          <w:tcPr>
            <w:tcW w:w="2088"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推荐决赛项目</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园区载体对拟推荐项目进行落地意向研判后，按照该园区项目报名数量的20%</w:t>
            </w:r>
          </w:p>
        </w:tc>
      </w:tr>
      <w:tr>
        <w:tblPrEx>
          <w:tblCellMar>
            <w:top w:w="0" w:type="dxa"/>
            <w:left w:w="108" w:type="dxa"/>
            <w:bottom w:w="0" w:type="dxa"/>
            <w:right w:w="108" w:type="dxa"/>
          </w:tblCellMar>
        </w:tblPrEx>
        <w:trPr>
          <w:trHeight w:val="852" w:hRule="atLeast"/>
          <w:jc w:val="center"/>
        </w:trPr>
        <w:tc>
          <w:tcPr>
            <w:tcW w:w="2088"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落地成果转化期</w:t>
            </w:r>
            <w:r>
              <w:rPr>
                <w:rFonts w:cs="宋体"/>
                <w:color w:val="000000"/>
                <w:kern w:val="0"/>
                <w:sz w:val="24"/>
                <w:szCs w:val="24"/>
              </w:rPr>
              <w:br w:type="textWrapping"/>
            </w:r>
            <w:r>
              <w:rPr>
                <w:rFonts w:cs="宋体"/>
                <w:color w:val="000000"/>
                <w:kern w:val="0"/>
                <w:sz w:val="24"/>
                <w:szCs w:val="24"/>
              </w:rPr>
              <w:t>（8月-9月）</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落地成果转化期</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组委会组织龙头企业、投资机构、科研机构等专家对项目进行一对一辅导、产融对接，并融合组队参与决赛。</w:t>
            </w:r>
          </w:p>
        </w:tc>
      </w:tr>
      <w:tr>
        <w:tblPrEx>
          <w:tblCellMar>
            <w:top w:w="0" w:type="dxa"/>
            <w:left w:w="108" w:type="dxa"/>
            <w:bottom w:w="0" w:type="dxa"/>
            <w:right w:w="108" w:type="dxa"/>
          </w:tblCellMar>
        </w:tblPrEx>
        <w:trPr>
          <w:trHeight w:val="768" w:hRule="atLeast"/>
          <w:jc w:val="center"/>
        </w:trPr>
        <w:tc>
          <w:tcPr>
            <w:tcW w:w="2088"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决赛及颁奖典礼</w:t>
            </w:r>
            <w:r>
              <w:rPr>
                <w:rFonts w:cs="宋体"/>
                <w:color w:val="000000"/>
                <w:kern w:val="0"/>
                <w:sz w:val="24"/>
                <w:szCs w:val="24"/>
              </w:rPr>
              <w:br w:type="textWrapping"/>
            </w:r>
            <w:r>
              <w:rPr>
                <w:rFonts w:cs="宋体"/>
                <w:color w:val="000000"/>
                <w:kern w:val="0"/>
                <w:sz w:val="24"/>
                <w:szCs w:val="24"/>
              </w:rPr>
              <w:t>（9月-10月）</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决赛及颁奖典礼</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采用赛道赛的形式，按比例决出六大领域优胜项目，并颁发决赛50强先锋奖。</w:t>
            </w:r>
          </w:p>
        </w:tc>
      </w:tr>
      <w:tr>
        <w:tblPrEx>
          <w:tblCellMar>
            <w:top w:w="0" w:type="dxa"/>
            <w:left w:w="108" w:type="dxa"/>
            <w:bottom w:w="0" w:type="dxa"/>
            <w:right w:w="108" w:type="dxa"/>
          </w:tblCellMar>
        </w:tblPrEx>
        <w:trPr>
          <w:trHeight w:val="768" w:hRule="atLeast"/>
          <w:jc w:val="center"/>
        </w:trPr>
        <w:tc>
          <w:tcPr>
            <w:tcW w:w="2088"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赛后服务期</w:t>
            </w:r>
            <w:r>
              <w:rPr>
                <w:rFonts w:cs="宋体"/>
                <w:color w:val="000000"/>
                <w:kern w:val="0"/>
                <w:sz w:val="24"/>
                <w:szCs w:val="24"/>
              </w:rPr>
              <w:br w:type="textWrapping"/>
            </w:r>
            <w:r>
              <w:rPr>
                <w:rFonts w:cs="宋体"/>
                <w:color w:val="000000"/>
                <w:kern w:val="0"/>
                <w:sz w:val="24"/>
                <w:szCs w:val="24"/>
              </w:rPr>
              <w:t>（10月-12月）</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赛后服务</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落地服务、奖金申报、融资对接、产业对接</w:t>
            </w:r>
          </w:p>
        </w:tc>
      </w:tr>
      <w:tr>
        <w:tblPrEx>
          <w:tblCellMar>
            <w:top w:w="0" w:type="dxa"/>
            <w:left w:w="108" w:type="dxa"/>
            <w:bottom w:w="0" w:type="dxa"/>
            <w:right w:w="108" w:type="dxa"/>
          </w:tblCellMar>
        </w:tblPrEx>
        <w:trPr>
          <w:trHeight w:val="1320" w:hRule="atLeast"/>
          <w:jc w:val="center"/>
        </w:trPr>
        <w:tc>
          <w:tcPr>
            <w:tcW w:w="2088"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跟踪服务期</w:t>
            </w:r>
            <w:r>
              <w:rPr>
                <w:rFonts w:cs="宋体"/>
                <w:color w:val="000000"/>
                <w:kern w:val="0"/>
                <w:sz w:val="24"/>
                <w:szCs w:val="24"/>
              </w:rPr>
              <w:br w:type="textWrapping"/>
            </w:r>
            <w:r>
              <w:rPr>
                <w:rFonts w:cs="宋体"/>
                <w:color w:val="000000"/>
                <w:kern w:val="0"/>
                <w:sz w:val="24"/>
                <w:szCs w:val="24"/>
              </w:rPr>
              <w:t>（赛后两年）</w:t>
            </w:r>
          </w:p>
        </w:tc>
        <w:tc>
          <w:tcPr>
            <w:tcW w:w="236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跟踪服务</w:t>
            </w:r>
          </w:p>
        </w:tc>
        <w:tc>
          <w:tcPr>
            <w:tcW w:w="452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项目落地后两年内，每年组织开展对于项目集中调研工作，了解落地后的孵化成长情况、下阶段配套诉求，以及赛事各项奖励落实情况，以及政策扶持的有效性。</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23" w:name="_Toc232169753"/>
      <w:bookmarkStart w:id="24" w:name="_Toc30741"/>
      <w:bookmarkStart w:id="25" w:name="_Toc2629"/>
      <w:r>
        <w:rPr>
          <w:rFonts w:hint="eastAsia"/>
          <w:kern w:val="0"/>
        </w:rPr>
        <w:t>（三）项目运作机制及奖励方式</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创赛突出“赛招联动”，构筑招商引智闭环。经过多年的运作与摸索，大赛打破传统赛事“评比发奖”的单一模式，建立了一套以产业落地为导向的综合运作机制。</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b/>
          <w:bCs/>
        </w:rPr>
      </w:pPr>
      <w:r>
        <w:rPr>
          <w:rFonts w:hint="eastAsia"/>
          <w:b/>
          <w:bCs/>
        </w:rPr>
        <w:t>1.创赛的运作机制</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根据《2026年创赛工作方案》，经过多年探索，创赛运作机制不断优化创新。一是</w:t>
      </w:r>
      <w:r>
        <w:rPr>
          <w:rFonts w:hint="eastAsia"/>
        </w:rPr>
        <w:t>“双轨制”精准引进。 采取“公开海选+机构保荐”双轨并跑，既面向全国广泛蓄水，又依托链主企业、科研机构定向锁定高潜优质项目。</w:t>
      </w:r>
      <w:r>
        <w:rPr>
          <w:rFonts w:hint="eastAsia"/>
          <w:b/>
          <w:bCs/>
        </w:rPr>
        <w:t>二是支持方式由一次性奖补惯例向</w:t>
      </w:r>
      <w:r>
        <w:rPr>
          <w:rFonts w:hint="eastAsia"/>
        </w:rPr>
        <w:t>“投奖联动”长效激励转变正在尝试建立“里程碑分期拨付”与“以投代奖”机制，探索设立专项种子基金直投，将奖金兑现与项目落地、营收研发等实际贡献深度挂钩。</w:t>
      </w:r>
      <w:r>
        <w:rPr>
          <w:rFonts w:hint="eastAsia"/>
          <w:b/>
          <w:bCs/>
        </w:rPr>
        <w:t>三是</w:t>
      </w:r>
      <w:r>
        <w:rPr>
          <w:rFonts w:hint="eastAsia"/>
        </w:rPr>
        <w:t>“产赛融合”靶向引才。创赛通过单设青年及港澳专属奖项实施精准引才，并将“本地产业链协同”列为考核核心加分项，以产业牵引确保项目“招得来、落得下、长得大”。</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sectPr>
          <w:headerReference r:id="rId13" w:type="default"/>
          <w:footerReference r:id="rId14" w:type="default"/>
          <w:type w:val="continuous"/>
          <w:pgSz w:w="11906" w:h="16838"/>
          <w:pgMar w:top="1440" w:right="1800" w:bottom="1440" w:left="1800" w:header="851" w:footer="992" w:gutter="0"/>
          <w:pgNumType w:fmt="decimal" w:start="1"/>
          <w:cols w:space="425" w:num="1"/>
          <w:docGrid w:type="lines" w:linePitch="312" w:charSpace="0"/>
        </w:sectPr>
      </w:pPr>
    </w:p>
    <w:p>
      <w:pPr>
        <w:ind w:firstLine="560"/>
        <w:jc w:val="center"/>
        <w:rPr>
          <w:rFonts w:eastAsia="黑体"/>
          <w:sz w:val="28"/>
          <w:szCs w:val="28"/>
        </w:rPr>
      </w:pPr>
      <w:r>
        <w:rPr>
          <w:rFonts w:hint="eastAsia" w:eastAsia="黑体"/>
          <w:sz w:val="28"/>
          <w:szCs w:val="28"/>
        </w:rPr>
        <w:t>表1-</w:t>
      </w:r>
      <w:bookmarkStart w:id="26" w:name="OLE_LINK7"/>
      <w:r>
        <w:rPr>
          <w:rFonts w:hint="eastAsia" w:eastAsia="黑体"/>
          <w:sz w:val="28"/>
          <w:szCs w:val="28"/>
        </w:rPr>
        <w:t>2 2023年-2025年创赛运作方式</w:t>
      </w:r>
    </w:p>
    <w:bookmarkEnd w:id="26"/>
    <w:tbl>
      <w:tblPr>
        <w:tblStyle w:val="24"/>
        <w:tblW w:w="8760" w:type="dxa"/>
        <w:jc w:val="center"/>
        <w:tblLayout w:type="fixed"/>
        <w:tblCellMar>
          <w:top w:w="0" w:type="dxa"/>
          <w:left w:w="108" w:type="dxa"/>
          <w:bottom w:w="0" w:type="dxa"/>
          <w:right w:w="108" w:type="dxa"/>
        </w:tblCellMar>
      </w:tblPr>
      <w:tblGrid>
        <w:gridCol w:w="1342"/>
        <w:gridCol w:w="2086"/>
        <w:gridCol w:w="3092"/>
        <w:gridCol w:w="2240"/>
      </w:tblGrid>
      <w:tr>
        <w:tblPrEx>
          <w:tblCellMar>
            <w:top w:w="0" w:type="dxa"/>
            <w:left w:w="108" w:type="dxa"/>
            <w:bottom w:w="0" w:type="dxa"/>
            <w:right w:w="108" w:type="dxa"/>
          </w:tblCellMar>
        </w:tblPrEx>
        <w:trPr>
          <w:tblHeader/>
          <w:jc w:val="center"/>
        </w:trPr>
        <w:tc>
          <w:tcPr>
            <w:tcW w:w="1342" w:type="dxa"/>
            <w:tcBorders>
              <w:top w:val="single" w:color="auto" w:sz="4" w:space="0"/>
              <w:left w:val="single" w:color="auto" w:sz="4" w:space="0"/>
              <w:bottom w:val="single" w:color="auto" w:sz="4" w:space="0"/>
              <w:right w:val="single" w:color="auto" w:sz="4" w:space="0"/>
            </w:tcBorders>
            <w:noWrap/>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年/届</w:t>
            </w:r>
          </w:p>
        </w:tc>
        <w:tc>
          <w:tcPr>
            <w:tcW w:w="2086" w:type="dxa"/>
            <w:tcBorders>
              <w:top w:val="single" w:color="auto" w:sz="4" w:space="0"/>
              <w:left w:val="nil"/>
              <w:bottom w:val="single" w:color="auto" w:sz="4" w:space="0"/>
              <w:right w:val="single" w:color="auto" w:sz="4" w:space="0"/>
            </w:tcBorders>
            <w:noWrap/>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2023年</w:t>
            </w:r>
          </w:p>
        </w:tc>
        <w:tc>
          <w:tcPr>
            <w:tcW w:w="3092" w:type="dxa"/>
            <w:tcBorders>
              <w:top w:val="single" w:color="auto" w:sz="4" w:space="0"/>
              <w:left w:val="nil"/>
              <w:bottom w:val="single" w:color="auto" w:sz="4" w:space="0"/>
              <w:right w:val="single" w:color="auto" w:sz="4" w:space="0"/>
            </w:tcBorders>
            <w:noWrap/>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2024年</w:t>
            </w:r>
          </w:p>
        </w:tc>
        <w:tc>
          <w:tcPr>
            <w:tcW w:w="2240" w:type="dxa"/>
            <w:tcBorders>
              <w:top w:val="single" w:color="auto" w:sz="4" w:space="0"/>
              <w:left w:val="nil"/>
              <w:bottom w:val="single" w:color="auto" w:sz="4" w:space="0"/>
              <w:right w:val="single" w:color="auto" w:sz="4" w:space="0"/>
            </w:tcBorders>
            <w:noWrap/>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2025年</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大赛主题</w:t>
            </w:r>
          </w:p>
        </w:tc>
        <w:tc>
          <w:tcPr>
            <w:tcW w:w="2086" w:type="dxa"/>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科创松湖 产研共生</w:t>
            </w:r>
          </w:p>
        </w:tc>
        <w:tc>
          <w:tcPr>
            <w:tcW w:w="3092" w:type="dxa"/>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才聚松山湖 筑梦科学城</w:t>
            </w:r>
          </w:p>
        </w:tc>
        <w:tc>
          <w:tcPr>
            <w:tcW w:w="2240" w:type="dxa"/>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赛事宣传覆盖区域</w:t>
            </w:r>
          </w:p>
        </w:tc>
        <w:tc>
          <w:tcPr>
            <w:tcW w:w="2086"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北京、上海、成都、武汉、西安、深圳、香港</w:t>
            </w:r>
          </w:p>
        </w:tc>
        <w:tc>
          <w:tcPr>
            <w:tcW w:w="3092"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深圳、广州、长沙、西安、武汉、成都、东莞；在东莞松山湖组织面向园区载体、投融资机构的赛事宣讲会；逐月在深圳南山、福田、宝安、龙华和光明新区举行赛事宣讲会暨松山湖推介会。</w:t>
            </w:r>
          </w:p>
        </w:tc>
        <w:tc>
          <w:tcPr>
            <w:tcW w:w="2240"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深圳、东莞松山湖、西安、武汉、长沙、广州</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noWrap/>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涉及产业领域</w:t>
            </w:r>
          </w:p>
        </w:tc>
        <w:tc>
          <w:tcPr>
            <w:tcW w:w="2086"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数字经济、新材料、新能源、生物医药与大健康、机器人及智能装备制造、其他领域</w:t>
            </w:r>
          </w:p>
        </w:tc>
        <w:tc>
          <w:tcPr>
            <w:tcW w:w="3092"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数字经济（新一代信息技术/人工智能/虚拟现实）、健康产业（生物医药/运动健康）、装备“智”造（机器人/装备制造）、绿色产业（新能源/新材料/节能环保）、</w:t>
            </w:r>
            <w:r>
              <w:rPr>
                <w:rFonts w:hint="eastAsia" w:cs="宋体"/>
                <w:b/>
                <w:bCs/>
                <w:color w:val="000000" w:themeColor="text1"/>
                <w:kern w:val="0"/>
                <w:sz w:val="24"/>
                <w:szCs w:val="24"/>
                <w14:textFill>
                  <w14:solidFill>
                    <w14:schemeClr w14:val="tx1"/>
                  </w14:solidFill>
                </w14:textFill>
              </w:rPr>
              <w:t>工业设计及科技服务、港澳台新加坡专场、女性专场</w:t>
            </w:r>
          </w:p>
        </w:tc>
        <w:tc>
          <w:tcPr>
            <w:tcW w:w="2240"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新一代信息技术与智能网联汽车、机器人与智能装备制造、半导体与集成电路、生物医药与健康、新材料与新能源</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项目征集方式</w:t>
            </w:r>
          </w:p>
        </w:tc>
        <w:tc>
          <w:tcPr>
            <w:tcW w:w="2086"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项目选拔制</w:t>
            </w:r>
          </w:p>
        </w:tc>
        <w:tc>
          <w:tcPr>
            <w:tcW w:w="3092"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项目选拔制+项目保荐制</w:t>
            </w:r>
          </w:p>
        </w:tc>
        <w:tc>
          <w:tcPr>
            <w:tcW w:w="2240"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项目选拔制+项目保荐制</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项目选拔对象</w:t>
            </w:r>
          </w:p>
        </w:tc>
        <w:tc>
          <w:tcPr>
            <w:tcW w:w="2086"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重点发动初创团队，以增量为主、园区载体项目存量为辅，允许2023年1月1日后在松山湖注册的企业参与到本届赛事中。</w:t>
            </w:r>
          </w:p>
        </w:tc>
        <w:tc>
          <w:tcPr>
            <w:tcW w:w="3092"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全国范围内通过重点高校、科研院所、孵化园区、产业基地、投融资机构公开征集，通过参与初赛、半决赛，遴选优质项目进入赛事总决赛，角逐“60强先锋奖”中的40个获奖名额。</w:t>
            </w:r>
          </w:p>
        </w:tc>
        <w:tc>
          <w:tcPr>
            <w:tcW w:w="2240"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在全国范围内通过重点高校、科研院</w:t>
            </w:r>
            <w:r>
              <w:rPr>
                <w:rFonts w:hint="eastAsia" w:cs="宋体"/>
                <w:color w:val="000000"/>
                <w:kern w:val="0"/>
                <w:sz w:val="24"/>
                <w:szCs w:val="24"/>
              </w:rPr>
              <w:br w:type="textWrapping"/>
            </w:r>
            <w:r>
              <w:rPr>
                <w:rFonts w:hint="eastAsia" w:cs="宋体"/>
                <w:color w:val="000000"/>
                <w:kern w:val="0"/>
                <w:sz w:val="24"/>
                <w:szCs w:val="24"/>
              </w:rPr>
              <w:t>所、孵化园区、产业基地、投融资机构公开征集</w:t>
            </w:r>
          </w:p>
        </w:tc>
      </w:tr>
      <w:tr>
        <w:tblPrEx>
          <w:tblCellMar>
            <w:top w:w="0" w:type="dxa"/>
            <w:left w:w="108" w:type="dxa"/>
            <w:bottom w:w="0" w:type="dxa"/>
            <w:right w:w="108" w:type="dxa"/>
          </w:tblCellMar>
        </w:tblPrEx>
        <w:trPr>
          <w:jc w:val="center"/>
        </w:trPr>
        <w:tc>
          <w:tcPr>
            <w:tcW w:w="1342" w:type="dxa"/>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项目保荐对象</w:t>
            </w:r>
          </w:p>
        </w:tc>
        <w:tc>
          <w:tcPr>
            <w:tcW w:w="2086"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w:t>
            </w:r>
          </w:p>
        </w:tc>
        <w:tc>
          <w:tcPr>
            <w:tcW w:w="3092"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大赛将与园区内四大品牌训练营或赛事活动联动，由四个运营单位推荐落户（或将落户）的项目，直接获得“60强先锋奖”中的20个获奖名额。</w:t>
            </w:r>
          </w:p>
        </w:tc>
        <w:tc>
          <w:tcPr>
            <w:tcW w:w="2240" w:type="dxa"/>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园区重点企业、机构及品牌活动赛</w:t>
            </w:r>
            <w:r>
              <w:rPr>
                <w:rFonts w:hint="eastAsia" w:cs="宋体"/>
                <w:color w:val="000000"/>
                <w:kern w:val="0"/>
                <w:sz w:val="24"/>
                <w:szCs w:val="24"/>
              </w:rPr>
              <w:br w:type="textWrapping"/>
            </w:r>
            <w:r>
              <w:rPr>
                <w:rFonts w:hint="eastAsia" w:cs="宋体"/>
                <w:color w:val="000000"/>
                <w:kern w:val="0"/>
                <w:sz w:val="24"/>
                <w:szCs w:val="24"/>
              </w:rPr>
              <w:t>事联动并从中推荐优秀项目直接获得“80强先锋奖”并进入总决赛比拼。除重点科研机构，2025年大赛新增了园区上市企业及全资子公司、链主企业、A公司等作为“保荐”单位。</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b/>
          <w:bCs/>
        </w:rPr>
      </w:pPr>
      <w:r>
        <w:rPr>
          <w:rFonts w:hint="eastAsia"/>
          <w:b/>
          <w:bCs/>
        </w:rPr>
        <w:t>2.创赛的奖励机制（2023年-2025年）</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通过梳理近三年项目实施方案，创赛的奖励机制围绕项目“落地”及“成长”开展，基本构建了覆盖项目成长期的支持政策体系。其奖励重心逐步侧重于落户项目后期的发展牵引奖励。</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落户阶段，创赛直接奖励主要围绕落户奖励和租金补贴；落户以后，则是根据项目落户以后的成长情况，结合其成长规模、资质认定、获得的融资情况等给予相应奖励；从2025年的奖励设置来看，奖项更加侧重按照落户项目的发展阶段予以匹配奖励，同时，增加了更多“保姆式”服务，如科创属性提升工程专题培训、产学研项目对接、股权债权融资机构对接、专属宣传报道等，奖项的设置愈发趋于并贴近落户的项目“中小微”项目的特点。详见下表。</w:t>
      </w:r>
    </w:p>
    <w:p>
      <w:pPr>
        <w:keepNext w:val="0"/>
        <w:keepLines w:val="0"/>
        <w:pageBreakBefore w:val="0"/>
        <w:widowControl w:val="0"/>
        <w:tabs>
          <w:tab w:val="left" w:pos="1813"/>
        </w:tabs>
        <w:kinsoku/>
        <w:wordWrap/>
        <w:overflowPunct/>
        <w:topLinePunct w:val="0"/>
        <w:autoSpaceDE/>
        <w:autoSpaceDN/>
        <w:bidi w:val="0"/>
        <w:adjustRightInd/>
        <w:snapToGrid/>
        <w:spacing w:line="600" w:lineRule="exact"/>
        <w:textAlignment w:val="auto"/>
        <w:sectPr>
          <w:pgSz w:w="11906" w:h="16838"/>
          <w:pgMar w:top="1440" w:right="1800" w:bottom="1440" w:left="1800" w:header="851" w:footer="992" w:gutter="0"/>
          <w:pgNumType w:fmt="decimal"/>
          <w:cols w:space="425" w:num="1"/>
          <w:docGrid w:type="lines" w:linePitch="435" w:charSpace="0"/>
        </w:sectPr>
      </w:pPr>
      <w:r>
        <w:tab/>
      </w:r>
    </w:p>
    <w:p>
      <w:pPr>
        <w:ind w:firstLine="560"/>
        <w:jc w:val="center"/>
        <w:rPr>
          <w:rFonts w:eastAsia="黑体"/>
          <w:sz w:val="28"/>
          <w:szCs w:val="28"/>
        </w:rPr>
      </w:pPr>
      <w:r>
        <w:rPr>
          <w:rFonts w:hint="eastAsia" w:eastAsia="黑体"/>
          <w:sz w:val="28"/>
          <w:szCs w:val="28"/>
        </w:rPr>
        <w:t>表1-3  2023年-2025年创赛奖励对象及方式</w:t>
      </w:r>
    </w:p>
    <w:tbl>
      <w:tblPr>
        <w:tblStyle w:val="24"/>
        <w:tblW w:w="15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022"/>
        <w:gridCol w:w="2664"/>
        <w:gridCol w:w="1559"/>
        <w:gridCol w:w="1276"/>
        <w:gridCol w:w="3003"/>
        <w:gridCol w:w="1211"/>
        <w:gridCol w:w="3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jc w:val="center"/>
        </w:trPr>
        <w:tc>
          <w:tcPr>
            <w:tcW w:w="4678" w:type="dxa"/>
            <w:gridSpan w:val="3"/>
            <w:noWrap/>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2023年</w:t>
            </w:r>
          </w:p>
        </w:tc>
        <w:tc>
          <w:tcPr>
            <w:tcW w:w="5838" w:type="dxa"/>
            <w:gridSpan w:val="3"/>
            <w:noWrap/>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2024年</w:t>
            </w:r>
          </w:p>
        </w:tc>
        <w:tc>
          <w:tcPr>
            <w:tcW w:w="4564" w:type="dxa"/>
            <w:gridSpan w:val="2"/>
            <w:noWrap/>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jc w:val="center"/>
        </w:trPr>
        <w:tc>
          <w:tcPr>
            <w:tcW w:w="992"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奖励对象</w:t>
            </w:r>
          </w:p>
        </w:tc>
        <w:tc>
          <w:tcPr>
            <w:tcW w:w="1022"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奖励类型</w:t>
            </w:r>
          </w:p>
        </w:tc>
        <w:tc>
          <w:tcPr>
            <w:tcW w:w="2664"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奖励内容</w:t>
            </w:r>
          </w:p>
        </w:tc>
        <w:tc>
          <w:tcPr>
            <w:tcW w:w="1559"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奖励对象</w:t>
            </w:r>
          </w:p>
        </w:tc>
        <w:tc>
          <w:tcPr>
            <w:tcW w:w="1276"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奖励类型</w:t>
            </w:r>
          </w:p>
        </w:tc>
        <w:tc>
          <w:tcPr>
            <w:tcW w:w="3003"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奖励内容</w:t>
            </w:r>
          </w:p>
        </w:tc>
        <w:tc>
          <w:tcPr>
            <w:tcW w:w="1211"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奖励对象</w:t>
            </w:r>
          </w:p>
        </w:tc>
        <w:tc>
          <w:tcPr>
            <w:tcW w:w="3353" w:type="dxa"/>
            <w:vAlign w:val="center"/>
          </w:tcPr>
          <w:p>
            <w:pPr>
              <w:widowControl/>
              <w:ind w:firstLine="0" w:firstLineChars="0"/>
              <w:jc w:val="center"/>
              <w:rPr>
                <w:rFonts w:cs="宋体"/>
                <w:b/>
                <w:bCs/>
                <w:color w:val="000000" w:themeColor="text1"/>
                <w:kern w:val="0"/>
                <w:sz w:val="24"/>
                <w:szCs w:val="21"/>
                <w14:textFill>
                  <w14:solidFill>
                    <w14:schemeClr w14:val="tx1"/>
                  </w14:solidFill>
                </w14:textFill>
              </w:rPr>
            </w:pPr>
            <w:r>
              <w:rPr>
                <w:rFonts w:hint="eastAsia" w:cs="宋体"/>
                <w:b/>
                <w:bCs/>
                <w:color w:val="000000" w:themeColor="text1"/>
                <w:kern w:val="0"/>
                <w:sz w:val="24"/>
                <w:szCs w:val="21"/>
                <w14:textFill>
                  <w14:solidFill>
                    <w14:schemeClr w14:val="tx1"/>
                  </w14:solidFill>
                </w14:textFill>
              </w:rPr>
              <w:t>奖励内容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9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初赛</w:t>
            </w:r>
          </w:p>
        </w:tc>
        <w:tc>
          <w:tcPr>
            <w:tcW w:w="102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每个园区</w:t>
            </w:r>
            <w:r>
              <w:rPr>
                <w:rFonts w:cs="宋体"/>
                <w:color w:val="000000" w:themeColor="text1"/>
                <w:kern w:val="0"/>
                <w:sz w:val="20"/>
                <w:szCs w:val="20"/>
                <w14:textFill>
                  <w14:solidFill>
                    <w14:schemeClr w14:val="tx1"/>
                  </w14:solidFill>
                </w14:textFill>
              </w:rPr>
              <w:br w:type="textWrapping"/>
            </w:r>
            <w:r>
              <w:rPr>
                <w:color w:val="000000" w:themeColor="text1"/>
                <w:kern w:val="0"/>
                <w:sz w:val="20"/>
                <w:szCs w:val="20"/>
                <w14:textFill>
                  <w14:solidFill>
                    <w14:schemeClr w14:val="tx1"/>
                  </w14:solidFill>
                </w14:textFill>
              </w:rPr>
              <w:t>20-40</w:t>
            </w:r>
            <w:r>
              <w:rPr>
                <w:rFonts w:hint="eastAsia" w:cs="宋体"/>
                <w:color w:val="000000" w:themeColor="text1"/>
                <w:kern w:val="0"/>
                <w:sz w:val="20"/>
                <w:szCs w:val="20"/>
                <w14:textFill>
                  <w14:solidFill>
                    <w14:schemeClr w14:val="tx1"/>
                  </w14:solidFill>
                </w14:textFill>
              </w:rPr>
              <w:t>个项目</w:t>
            </w:r>
          </w:p>
        </w:tc>
        <w:tc>
          <w:tcPr>
            <w:tcW w:w="2664"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项目落户后，由园区载体支持首年租金</w:t>
            </w:r>
            <w:r>
              <w:rPr>
                <w:color w:val="000000" w:themeColor="text1"/>
                <w:kern w:val="0"/>
                <w:sz w:val="20"/>
                <w:szCs w:val="20"/>
                <w14:textFill>
                  <w14:solidFill>
                    <w14:schemeClr w14:val="tx1"/>
                  </w14:solidFill>
                </w14:textFill>
              </w:rPr>
              <w:t>50%</w:t>
            </w:r>
            <w:r>
              <w:rPr>
                <w:rFonts w:hint="eastAsia" w:cs="宋体"/>
                <w:color w:val="000000" w:themeColor="text1"/>
                <w:kern w:val="0"/>
                <w:sz w:val="20"/>
                <w:szCs w:val="20"/>
                <w14:textFill>
                  <w14:solidFill>
                    <w14:schemeClr w14:val="tx1"/>
                  </w14:solidFill>
                </w14:textFill>
              </w:rPr>
              <w:t>减免，鼓励园区载体额外设置其它奖项或扶持政策</w:t>
            </w:r>
          </w:p>
        </w:tc>
        <w:tc>
          <w:tcPr>
            <w:tcW w:w="1559"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项目选拔制半决赛晋级项目</w:t>
            </w:r>
          </w:p>
        </w:tc>
        <w:tc>
          <w:tcPr>
            <w:tcW w:w="1276"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租金补贴</w:t>
            </w:r>
          </w:p>
        </w:tc>
        <w:tc>
          <w:tcPr>
            <w:tcW w:w="300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由园区载体负责，给予6个月租金减免。</w:t>
            </w:r>
          </w:p>
        </w:tc>
        <w:tc>
          <w:tcPr>
            <w:tcW w:w="1211"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（一）特等奖</w:t>
            </w:r>
          </w:p>
        </w:tc>
        <w:tc>
          <w:tcPr>
            <w:tcW w:w="3353"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总决赛中各行业赛道路演得分第一的项目获得特等奖，共5个。</w:t>
            </w:r>
            <w:r>
              <w:rPr>
                <w:rFonts w:hint="eastAsia" w:cs="宋体"/>
                <w:b/>
                <w:bCs/>
                <w:color w:val="000000" w:themeColor="text1"/>
                <w:kern w:val="0"/>
                <w:sz w:val="20"/>
                <w:szCs w:val="20"/>
                <w14:textFill>
                  <w14:solidFill>
                    <w14:schemeClr w14:val="tx1"/>
                  </w14:solidFill>
                </w14:textFill>
              </w:rPr>
              <w:t>每个项目给予不低于100万元的基金投资。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92" w:type="dxa"/>
            <w:vMerge w:val="restart"/>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决赛</w:t>
            </w:r>
          </w:p>
        </w:tc>
        <w:tc>
          <w:tcPr>
            <w:tcW w:w="102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先锋奖</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（50强）</w:t>
            </w:r>
          </w:p>
        </w:tc>
        <w:tc>
          <w:tcPr>
            <w:tcW w:w="2664"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颁发荣誉证书，项目落户后由园区载体支持首年租金100%减免；落户第二年届满，可一次性获组委会一年租金补贴（根据实际使用面积计算，每个项目最多不超过10万元）</w:t>
            </w:r>
          </w:p>
        </w:tc>
        <w:tc>
          <w:tcPr>
            <w:tcW w:w="1559" w:type="dxa"/>
            <w:vMerge w:val="restart"/>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“60强先锋奖”项目</w:t>
            </w:r>
          </w:p>
        </w:tc>
        <w:tc>
          <w:tcPr>
            <w:tcW w:w="1276"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租金补贴</w:t>
            </w:r>
          </w:p>
        </w:tc>
        <w:tc>
          <w:tcPr>
            <w:tcW w:w="300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项目落地24个月内皆由园区载体负责给予租金减免</w:t>
            </w:r>
            <w:r>
              <w:rPr>
                <w:rFonts w:hint="eastAsia" w:cs="宋体"/>
                <w:color w:val="000000" w:themeColor="text1"/>
                <w:kern w:val="0"/>
                <w:sz w:val="20"/>
                <w:szCs w:val="20"/>
                <w14:textFill>
                  <w14:solidFill>
                    <w14:schemeClr w14:val="tx1"/>
                  </w14:solidFill>
                </w14:textFill>
              </w:rPr>
              <w:t>(注：首年直接由园区载体直接租金减免，次年由园区载体向组委会申请次年12个月租金补贴；其中次年租金补贴根据实际使用面积计算，每个项目补贴金额最多不超过10万元）。</w:t>
            </w:r>
          </w:p>
        </w:tc>
        <w:tc>
          <w:tcPr>
            <w:tcW w:w="1211"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（二）优秀青年创业奖、优秀港澳创业奖</w:t>
            </w:r>
          </w:p>
        </w:tc>
        <w:tc>
          <w:tcPr>
            <w:tcW w:w="3353"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为鼓励大学生及港澳青年创业，半决赛各赛道排名第一的青年创业项目、港澳创业项目分别获得优秀青年创业奖、优秀港澳创业奖，每个奖各5个，共10个。每个奖金10万元，</w:t>
            </w:r>
            <w:r>
              <w:rPr>
                <w:rFonts w:hint="eastAsia" w:cs="宋体"/>
                <w:b/>
                <w:bCs/>
                <w:color w:val="000000" w:themeColor="text1"/>
                <w:kern w:val="0"/>
                <w:sz w:val="20"/>
                <w:szCs w:val="20"/>
                <w14:textFill>
                  <w14:solidFill>
                    <w14:schemeClr w14:val="tx1"/>
                  </w14:solidFill>
                </w14:textFill>
              </w:rPr>
              <w:t>在项目落地后一次性发放</w:t>
            </w:r>
            <w:r>
              <w:rPr>
                <w:rFonts w:hint="eastAsia" w:cs="宋体"/>
                <w:color w:val="000000" w:themeColor="text1"/>
                <w:kern w:val="0"/>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jc w:val="center"/>
        </w:trPr>
        <w:tc>
          <w:tcPr>
            <w:tcW w:w="992"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102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资质认定及政策补贴</w:t>
            </w:r>
          </w:p>
        </w:tc>
        <w:tc>
          <w:tcPr>
            <w:tcW w:w="2664"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对50强项目落户松山湖，两年成长期结束后，对于获得科技企业荣誉资质（如高新企业、规上企业等）的项目给予现有相关政策翻倍奖励的扶持。</w:t>
            </w:r>
          </w:p>
        </w:tc>
        <w:tc>
          <w:tcPr>
            <w:tcW w:w="1559"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1276" w:type="dxa"/>
            <w:vMerge w:val="restart"/>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落地及成长奖励</w:t>
            </w:r>
          </w:p>
        </w:tc>
        <w:tc>
          <w:tcPr>
            <w:tcW w:w="300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（一）落地奖励：</w:t>
            </w:r>
            <w:r>
              <w:rPr>
                <w:rFonts w:hint="eastAsia" w:cs="宋体"/>
                <w:b/>
                <w:bCs/>
                <w:color w:val="000000" w:themeColor="text1"/>
                <w:kern w:val="0"/>
                <w:sz w:val="20"/>
                <w:szCs w:val="20"/>
                <w14:textFill>
                  <w14:solidFill>
                    <w14:schemeClr w14:val="tx1"/>
                  </w14:solidFill>
                </w14:textFill>
              </w:rPr>
              <w:t>在2024年12月31日前落地注册后可获得5万元“无忧落地奖”</w:t>
            </w:r>
            <w:r>
              <w:rPr>
                <w:rFonts w:hint="eastAsia" w:cs="宋体"/>
                <w:color w:val="000000" w:themeColor="text1"/>
                <w:kern w:val="0"/>
                <w:sz w:val="20"/>
                <w:szCs w:val="20"/>
                <w14:textFill>
                  <w14:solidFill>
                    <w14:schemeClr w14:val="tx1"/>
                  </w14:solidFill>
                </w14:textFill>
              </w:rPr>
              <w:t>，可用于项目住宿、人才和交通等费用支出。</w:t>
            </w:r>
          </w:p>
        </w:tc>
        <w:tc>
          <w:tcPr>
            <w:tcW w:w="1211" w:type="dxa"/>
            <w:vMerge w:val="restart"/>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（三）80强先锋奖</w:t>
            </w:r>
          </w:p>
        </w:tc>
        <w:tc>
          <w:tcPr>
            <w:tcW w:w="335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1、第一阶段（落地一年内）</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（1）落地奖励：在2026年3月31日前完成落地注册后</w:t>
            </w:r>
            <w:r>
              <w:rPr>
                <w:rFonts w:hint="eastAsia" w:cs="宋体"/>
                <w:b/>
                <w:bCs/>
                <w:color w:val="000000" w:themeColor="text1"/>
                <w:kern w:val="0"/>
                <w:sz w:val="20"/>
                <w:szCs w:val="20"/>
                <w14:textFill>
                  <w14:solidFill>
                    <w14:schemeClr w14:val="tx1"/>
                  </w14:solidFill>
                </w14:textFill>
              </w:rPr>
              <w:t>可获得10万元落地奖励</w:t>
            </w:r>
            <w:r>
              <w:rPr>
                <w:rFonts w:hint="eastAsia" w:cs="宋体"/>
                <w:color w:val="000000" w:themeColor="text1"/>
                <w:kern w:val="0"/>
                <w:sz w:val="20"/>
                <w:szCs w:val="20"/>
                <w14:textFill>
                  <w14:solidFill>
                    <w14:schemeClr w14:val="tx1"/>
                  </w14:solidFill>
                </w14:textFill>
              </w:rPr>
              <w:t>。</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（2）载体租金支持：减免落地获奖项目首年租金，每个项目最高10万元（落地载体负责）。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992"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102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融资补贴</w:t>
            </w:r>
          </w:p>
        </w:tc>
        <w:tc>
          <w:tcPr>
            <w:tcW w:w="2664"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对50强项目落户松山湖，并在获奖之日起2年内成功获得股权融资支持(以在银行入账时间和金额为准)，按照不超过其融资额度的</w:t>
            </w:r>
            <w:r>
              <w:rPr>
                <w:rFonts w:cs="宋体"/>
                <w:color w:val="000000" w:themeColor="text1"/>
                <w:kern w:val="0"/>
                <w:sz w:val="20"/>
                <w:szCs w:val="20"/>
                <w14:textFill>
                  <w14:solidFill>
                    <w14:schemeClr w14:val="tx1"/>
                  </w14:solidFill>
                </w14:textFill>
              </w:rPr>
              <w:t xml:space="preserve"> </w:t>
            </w:r>
            <w:r>
              <w:rPr>
                <w:rFonts w:hint="eastAsia" w:cs="宋体"/>
                <w:color w:val="000000" w:themeColor="text1"/>
                <w:kern w:val="0"/>
                <w:sz w:val="20"/>
                <w:szCs w:val="20"/>
                <w14:textFill>
                  <w14:solidFill>
                    <w14:schemeClr w14:val="tx1"/>
                  </w14:solidFill>
                </w14:textFill>
              </w:rPr>
              <w:t>10%给予奖励,最高不超过</w:t>
            </w:r>
            <w:r>
              <w:rPr>
                <w:rFonts w:cs="宋体"/>
                <w:color w:val="000000" w:themeColor="text1"/>
                <w:kern w:val="0"/>
                <w:sz w:val="20"/>
                <w:szCs w:val="20"/>
                <w14:textFill>
                  <w14:solidFill>
                    <w14:schemeClr w14:val="tx1"/>
                  </w14:solidFill>
                </w14:textFill>
              </w:rPr>
              <w:t xml:space="preserve"> 100 </w:t>
            </w:r>
            <w:r>
              <w:rPr>
                <w:rFonts w:hint="eastAsia" w:cs="宋体"/>
                <w:color w:val="000000" w:themeColor="text1"/>
                <w:kern w:val="0"/>
                <w:sz w:val="20"/>
                <w:szCs w:val="20"/>
                <w14:textFill>
                  <w14:solidFill>
                    <w14:schemeClr w14:val="tx1"/>
                  </w14:solidFill>
                </w14:textFill>
              </w:rPr>
              <w:t>万元且只能申请一次。</w:t>
            </w:r>
          </w:p>
        </w:tc>
        <w:tc>
          <w:tcPr>
            <w:tcW w:w="1559"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1276"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300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（二）成长奖励：对“60强先锋奖”项目在项目落户三年成长期后，</w:t>
            </w:r>
            <w:r>
              <w:rPr>
                <w:rFonts w:hint="eastAsia" w:cs="宋体"/>
                <w:b/>
                <w:bCs/>
                <w:color w:val="000000" w:themeColor="text1"/>
                <w:kern w:val="0"/>
                <w:sz w:val="20"/>
                <w:szCs w:val="20"/>
                <w14:textFill>
                  <w14:solidFill>
                    <w14:schemeClr w14:val="tx1"/>
                  </w14:solidFill>
                </w14:textFill>
              </w:rPr>
              <w:t>对落户项目在成长期内的营收、研发投入、获投融资额等三个不同维度进行综合评分，对优秀项目（排名前5%，取前3名，若第三名出现同分，按照并列第三名的数量来奖励）奖励50万元</w:t>
            </w:r>
            <w:r>
              <w:rPr>
                <w:rFonts w:hint="eastAsia" w:cs="宋体"/>
                <w:color w:val="000000" w:themeColor="text1"/>
                <w:kern w:val="0"/>
                <w:sz w:val="20"/>
                <w:szCs w:val="20"/>
                <w14:textFill>
                  <w14:solidFill>
                    <w14:schemeClr w14:val="tx1"/>
                  </w14:solidFill>
                </w14:textFill>
              </w:rPr>
              <w:t>。（评分表格详见附件1）</w:t>
            </w:r>
          </w:p>
        </w:tc>
        <w:tc>
          <w:tcPr>
            <w:tcW w:w="1211"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335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2、第二阶段（落地两年内）</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成长奖励：企业正常经营且在2028年3月31日前获得科技型中小企业认定，可获得5万元成长奖励。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992" w:type="dxa"/>
            <w:vAlign w:val="center"/>
          </w:tcPr>
          <w:p>
            <w:pPr>
              <w:widowControl/>
              <w:ind w:firstLine="0" w:firstLineChars="0"/>
              <w:jc w:val="center"/>
              <w:rPr>
                <w:rFonts w:cs="宋体"/>
                <w:b/>
                <w:bCs/>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奖项</w:t>
            </w:r>
          </w:p>
        </w:tc>
        <w:tc>
          <w:tcPr>
            <w:tcW w:w="3686" w:type="dxa"/>
            <w:gridSpan w:val="2"/>
            <w:vAlign w:val="center"/>
          </w:tcPr>
          <w:p>
            <w:pPr>
              <w:widowControl/>
              <w:ind w:firstLine="0" w:firstLineChars="0"/>
              <w:jc w:val="center"/>
              <w:rPr>
                <w:rFonts w:cs="宋体"/>
                <w:b/>
                <w:bCs/>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奖项设置</w:t>
            </w:r>
          </w:p>
        </w:tc>
        <w:tc>
          <w:tcPr>
            <w:tcW w:w="1559"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1276"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基金直投</w:t>
            </w:r>
          </w:p>
        </w:tc>
        <w:tc>
          <w:tcPr>
            <w:tcW w:w="300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建立“以投代奖”机制，以赛事承办方牵头，整合社会资本，组建大赛专项种子轮投资基金，</w:t>
            </w:r>
            <w:r>
              <w:rPr>
                <w:rFonts w:hint="eastAsia" w:cs="宋体"/>
                <w:b/>
                <w:bCs/>
                <w:color w:val="000000" w:themeColor="text1"/>
                <w:kern w:val="0"/>
                <w:sz w:val="20"/>
                <w:szCs w:val="20"/>
                <w14:textFill>
                  <w14:solidFill>
                    <w14:schemeClr w14:val="tx1"/>
                  </w14:solidFill>
                </w14:textFill>
              </w:rPr>
              <w:t>“60强先锋奖”落地项目专项基金投资，股权占比不超过5%，投资额度为5-20万。</w:t>
            </w:r>
          </w:p>
        </w:tc>
        <w:tc>
          <w:tcPr>
            <w:tcW w:w="1211"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335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3、第三阶段（落地第四年）</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里程碑奖励：2029年，根据3个客观指标（营收、投融资和研发投入）对落户项目前三年发展情况进行综合评分，</w:t>
            </w:r>
            <w:r>
              <w:rPr>
                <w:rFonts w:hint="eastAsia" w:cs="宋体"/>
                <w:b/>
                <w:bCs/>
                <w:color w:val="000000" w:themeColor="text1"/>
                <w:kern w:val="0"/>
                <w:sz w:val="20"/>
                <w:szCs w:val="20"/>
                <w14:textFill>
                  <w14:solidFill>
                    <w14:schemeClr w14:val="tx1"/>
                  </w14:solidFill>
                </w14:textFill>
              </w:rPr>
              <w:t>对排名前10%且得分高于60分（含）的项目（最终数量按四舍五入确定），给予每个50万元奖励。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2"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优秀组织奖</w:t>
            </w:r>
          </w:p>
        </w:tc>
        <w:tc>
          <w:tcPr>
            <w:tcW w:w="3686" w:type="dxa"/>
            <w:gridSpan w:val="2"/>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落户参赛项目总量前三名的园区载体（不低于</w:t>
            </w:r>
            <w:r>
              <w:rPr>
                <w:color w:val="000000" w:themeColor="text1"/>
                <w:kern w:val="0"/>
                <w:sz w:val="20"/>
                <w:szCs w:val="20"/>
                <w14:textFill>
                  <w14:solidFill>
                    <w14:schemeClr w14:val="tx1"/>
                  </w14:solidFill>
                </w14:textFill>
              </w:rPr>
              <w:t>10</w:t>
            </w:r>
            <w:r>
              <w:rPr>
                <w:rFonts w:hint="eastAsia" w:cs="宋体"/>
                <w:color w:val="000000" w:themeColor="text1"/>
                <w:kern w:val="0"/>
                <w:sz w:val="20"/>
                <w:szCs w:val="20"/>
                <w14:textFill>
                  <w14:solidFill>
                    <w14:schemeClr w14:val="tx1"/>
                  </w14:solidFill>
                </w14:textFill>
              </w:rPr>
              <w:t>家）、签约载体空间面积总量前三名的园区载体（不低于</w:t>
            </w:r>
            <w:r>
              <w:rPr>
                <w:color w:val="000000" w:themeColor="text1"/>
                <w:kern w:val="0"/>
                <w:sz w:val="20"/>
                <w:szCs w:val="20"/>
                <w14:textFill>
                  <w14:solidFill>
                    <w14:schemeClr w14:val="tx1"/>
                  </w14:solidFill>
                </w14:textFill>
              </w:rPr>
              <w:t>1000</w:t>
            </w:r>
            <w:r>
              <w:rPr>
                <w:rFonts w:hint="eastAsia" w:cs="宋体"/>
                <w:color w:val="000000" w:themeColor="text1"/>
                <w:kern w:val="0"/>
                <w:sz w:val="20"/>
                <w:szCs w:val="20"/>
                <w14:textFill>
                  <w14:solidFill>
                    <w14:schemeClr w14:val="tx1"/>
                  </w14:solidFill>
                </w14:textFill>
              </w:rPr>
              <w:t>平方），满足以上任一条件的园区载体获得“优秀组织奖”，可获得</w:t>
            </w:r>
            <w:r>
              <w:rPr>
                <w:color w:val="000000" w:themeColor="text1"/>
                <w:kern w:val="0"/>
                <w:sz w:val="20"/>
                <w:szCs w:val="20"/>
                <w14:textFill>
                  <w14:solidFill>
                    <w14:schemeClr w14:val="tx1"/>
                  </w14:solidFill>
                </w14:textFill>
              </w:rPr>
              <w:t>20</w:t>
            </w:r>
            <w:r>
              <w:rPr>
                <w:rFonts w:hint="eastAsia" w:cs="宋体"/>
                <w:color w:val="000000" w:themeColor="text1"/>
                <w:kern w:val="0"/>
                <w:sz w:val="20"/>
                <w:szCs w:val="20"/>
                <w14:textFill>
                  <w14:solidFill>
                    <w14:schemeClr w14:val="tx1"/>
                  </w14:solidFill>
                </w14:textFill>
              </w:rPr>
              <w:t>万元现金奖励（落地项目总量或签约载体空间面积总量相同情况下，以</w:t>
            </w:r>
            <w:r>
              <w:rPr>
                <w:color w:val="000000" w:themeColor="text1"/>
                <w:kern w:val="0"/>
                <w:sz w:val="20"/>
                <w:szCs w:val="20"/>
                <w14:textFill>
                  <w14:solidFill>
                    <w14:schemeClr w14:val="tx1"/>
                  </w14:solidFill>
                </w14:textFill>
              </w:rPr>
              <w:t>50</w:t>
            </w:r>
            <w:r>
              <w:rPr>
                <w:rFonts w:hint="eastAsia" w:cs="宋体"/>
                <w:color w:val="000000" w:themeColor="text1"/>
                <w:kern w:val="0"/>
                <w:sz w:val="20"/>
                <w:szCs w:val="20"/>
                <w14:textFill>
                  <w14:solidFill>
                    <w14:schemeClr w14:val="tx1"/>
                  </w14:solidFill>
                </w14:textFill>
              </w:rPr>
              <w:t>强落地项目数量排名优先奖励）</w:t>
            </w:r>
          </w:p>
        </w:tc>
        <w:tc>
          <w:tcPr>
            <w:tcW w:w="1559" w:type="dxa"/>
            <w:vMerge w:val="restart"/>
            <w:vAlign w:val="center"/>
          </w:tcPr>
          <w:p>
            <w:pPr>
              <w:widowControl/>
              <w:ind w:firstLine="0" w:firstLineChars="0"/>
              <w:jc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“60强先锋奖”落地项目</w:t>
            </w:r>
          </w:p>
        </w:tc>
        <w:tc>
          <w:tcPr>
            <w:tcW w:w="1276"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资质认定及政策补贴</w:t>
            </w:r>
          </w:p>
        </w:tc>
        <w:tc>
          <w:tcPr>
            <w:tcW w:w="3003" w:type="dxa"/>
            <w:vAlign w:val="center"/>
          </w:tcPr>
          <w:p>
            <w:pPr>
              <w:widowControl/>
              <w:ind w:firstLine="0" w:firstLineChars="0"/>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按照《东莞松山湖科技企业培育实施办法》中第十三条</w:t>
            </w:r>
            <w:r>
              <w:rPr>
                <w:rFonts w:hint="eastAsia"/>
                <w:color w:val="000000" w:themeColor="text1"/>
                <w:kern w:val="0"/>
                <w:sz w:val="20"/>
                <w:szCs w:val="20"/>
                <w14:textFill>
                  <w14:solidFill>
                    <w14:schemeClr w14:val="tx1"/>
                  </w14:solidFill>
                </w14:textFill>
              </w:rPr>
              <w:t>“</w:t>
            </w:r>
            <w:r>
              <w:rPr>
                <w:rFonts w:hint="eastAsia" w:cs="宋体"/>
                <w:color w:val="000000" w:themeColor="text1"/>
                <w:kern w:val="0"/>
                <w:sz w:val="20"/>
                <w:szCs w:val="20"/>
                <w14:textFill>
                  <w14:solidFill>
                    <w14:schemeClr w14:val="tx1"/>
                  </w14:solidFill>
                </w14:textFill>
              </w:rPr>
              <w:t>初创型科技企业培育</w:t>
            </w:r>
            <w:r>
              <w:rPr>
                <w:rFonts w:hint="eastAsia"/>
                <w:color w:val="000000" w:themeColor="text1"/>
                <w:kern w:val="0"/>
                <w:sz w:val="20"/>
                <w:szCs w:val="20"/>
                <w14:textFill>
                  <w14:solidFill>
                    <w14:schemeClr w14:val="tx1"/>
                  </w14:solidFill>
                </w14:textFill>
              </w:rPr>
              <w:t>”</w:t>
            </w:r>
            <w:r>
              <w:rPr>
                <w:rFonts w:hint="eastAsia" w:cs="宋体"/>
                <w:color w:val="000000" w:themeColor="text1"/>
                <w:kern w:val="0"/>
                <w:sz w:val="20"/>
                <w:szCs w:val="20"/>
                <w14:textFill>
                  <w14:solidFill>
                    <w14:schemeClr w14:val="tx1"/>
                  </w14:solidFill>
                </w14:textFill>
              </w:rPr>
              <w:t>执行。以上项目自注册或迁入之日起三年内，首次获得高企、规模以上企业资质的，分别给予</w:t>
            </w:r>
            <w:r>
              <w:rPr>
                <w:color w:val="000000" w:themeColor="text1"/>
                <w:kern w:val="0"/>
                <w:sz w:val="20"/>
                <w:szCs w:val="20"/>
                <w14:textFill>
                  <w14:solidFill>
                    <w14:schemeClr w14:val="tx1"/>
                  </w14:solidFill>
                </w14:textFill>
              </w:rPr>
              <w:t>20</w:t>
            </w:r>
            <w:r>
              <w:rPr>
                <w:rFonts w:hint="eastAsia" w:cs="宋体"/>
                <w:color w:val="000000" w:themeColor="text1"/>
                <w:kern w:val="0"/>
                <w:sz w:val="20"/>
                <w:szCs w:val="20"/>
                <w14:textFill>
                  <w14:solidFill>
                    <w14:schemeClr w14:val="tx1"/>
                  </w14:solidFill>
                </w14:textFill>
              </w:rPr>
              <w:t>万元、</w:t>
            </w:r>
            <w:r>
              <w:rPr>
                <w:color w:val="000000" w:themeColor="text1"/>
                <w:kern w:val="0"/>
                <w:sz w:val="20"/>
                <w:szCs w:val="20"/>
                <w14:textFill>
                  <w14:solidFill>
                    <w14:schemeClr w14:val="tx1"/>
                  </w14:solidFill>
                </w14:textFill>
              </w:rPr>
              <w:t>10</w:t>
            </w:r>
            <w:r>
              <w:rPr>
                <w:rFonts w:hint="eastAsia" w:cs="宋体"/>
                <w:color w:val="000000" w:themeColor="text1"/>
                <w:kern w:val="0"/>
                <w:sz w:val="20"/>
                <w:szCs w:val="20"/>
                <w14:textFill>
                  <w14:solidFill>
                    <w14:schemeClr w14:val="tx1"/>
                  </w14:solidFill>
                </w14:textFill>
              </w:rPr>
              <w:t>万元奖励；重新认定为高企的，给予</w:t>
            </w:r>
            <w:r>
              <w:rPr>
                <w:color w:val="000000" w:themeColor="text1"/>
                <w:kern w:val="0"/>
                <w:sz w:val="20"/>
                <w:szCs w:val="20"/>
                <w14:textFill>
                  <w14:solidFill>
                    <w14:schemeClr w14:val="tx1"/>
                  </w14:solidFill>
                </w14:textFill>
              </w:rPr>
              <w:t>10</w:t>
            </w:r>
            <w:r>
              <w:rPr>
                <w:rFonts w:hint="eastAsia" w:cs="宋体"/>
                <w:color w:val="000000" w:themeColor="text1"/>
                <w:kern w:val="0"/>
                <w:sz w:val="20"/>
                <w:szCs w:val="20"/>
                <w14:textFill>
                  <w14:solidFill>
                    <w14:schemeClr w14:val="tx1"/>
                  </w14:solidFill>
                </w14:textFill>
              </w:rPr>
              <w:t>万元奖励。</w:t>
            </w:r>
          </w:p>
        </w:tc>
        <w:tc>
          <w:tcPr>
            <w:tcW w:w="1211" w:type="dxa"/>
            <w:vMerge w:val="continue"/>
            <w:vAlign w:val="center"/>
          </w:tcPr>
          <w:p>
            <w:pPr>
              <w:widowControl/>
              <w:ind w:firstLine="0" w:firstLineChars="0"/>
              <w:jc w:val="left"/>
              <w:rPr>
                <w:rFonts w:cs="宋体"/>
                <w:color w:val="000000" w:themeColor="text1"/>
                <w:kern w:val="0"/>
                <w:sz w:val="20"/>
                <w:szCs w:val="20"/>
                <w14:textFill>
                  <w14:solidFill>
                    <w14:schemeClr w14:val="tx1"/>
                  </w14:solidFill>
                </w14:textFill>
              </w:rPr>
            </w:pPr>
          </w:p>
        </w:tc>
        <w:tc>
          <w:tcPr>
            <w:tcW w:w="3353" w:type="dxa"/>
            <w:vAlign w:val="center"/>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4、其他支持</w:t>
            </w:r>
            <w:r>
              <w:rPr>
                <w:rFonts w:cs="宋体"/>
                <w:color w:val="000000" w:themeColor="text1"/>
                <w:kern w:val="0"/>
                <w:sz w:val="20"/>
                <w:szCs w:val="20"/>
                <w14:textFill>
                  <w14:solidFill>
                    <w14:schemeClr w14:val="tx1"/>
                  </w14:solidFill>
                </w14:textFill>
              </w:rPr>
              <w:br w:type="textWrapping"/>
            </w:r>
            <w:r>
              <w:rPr>
                <w:rFonts w:hint="eastAsia" w:cs="宋体"/>
                <w:color w:val="000000" w:themeColor="text1"/>
                <w:kern w:val="0"/>
                <w:sz w:val="20"/>
                <w:szCs w:val="20"/>
                <w14:textFill>
                  <w14:solidFill>
                    <w14:schemeClr w14:val="tx1"/>
                  </w14:solidFill>
                </w14:textFill>
              </w:rPr>
              <w:t>80强先锋奖项目落地后可享受落地服务包服务，并有机会获得种子轮投资基金直投。其中落地服务包括但不限于：</w:t>
            </w:r>
            <w:bookmarkStart w:id="27" w:name="OLE_LINK8"/>
            <w:r>
              <w:rPr>
                <w:rFonts w:hint="eastAsia" w:cs="宋体"/>
                <w:color w:val="000000" w:themeColor="text1"/>
                <w:kern w:val="0"/>
                <w:sz w:val="20"/>
                <w:szCs w:val="20"/>
                <w14:textFill>
                  <w14:solidFill>
                    <w14:schemeClr w14:val="tx1"/>
                  </w14:solidFill>
                </w14:textFill>
              </w:rPr>
              <w:t>科创属性提升工程专题培训、产学研项目对接、股权债权融资机构对接、专属宣传报道、优先协调园区公租房租赁和国际人才社区住房申购。</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992" w:type="dxa"/>
            <w:noWrap/>
            <w:vAlign w:val="bottom"/>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3686" w:type="dxa"/>
            <w:gridSpan w:val="2"/>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1559" w:type="dxa"/>
            <w:vMerge w:val="continue"/>
            <w:vAlign w:val="center"/>
          </w:tcPr>
          <w:p>
            <w:pPr>
              <w:widowControl/>
              <w:ind w:firstLine="0" w:firstLineChars="0"/>
              <w:jc w:val="left"/>
              <w:rPr>
                <w:color w:val="000000" w:themeColor="text1"/>
                <w:kern w:val="0"/>
                <w:sz w:val="20"/>
                <w:szCs w:val="20"/>
                <w14:textFill>
                  <w14:solidFill>
                    <w14:schemeClr w14:val="tx1"/>
                  </w14:solidFill>
                </w14:textFill>
              </w:rPr>
            </w:pPr>
          </w:p>
        </w:tc>
        <w:tc>
          <w:tcPr>
            <w:tcW w:w="1276"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风险投资补助</w:t>
            </w:r>
          </w:p>
        </w:tc>
        <w:tc>
          <w:tcPr>
            <w:tcW w:w="3003" w:type="dxa"/>
            <w:vAlign w:val="center"/>
          </w:tcPr>
          <w:p>
            <w:pPr>
              <w:widowControl/>
              <w:ind w:firstLine="0" w:firstLineChars="0"/>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按照《东莞松山湖促进科技成果转移转化实施办法》中第九条</w:t>
            </w:r>
            <w:r>
              <w:rPr>
                <w:rFonts w:hint="eastAsia"/>
                <w:color w:val="000000" w:themeColor="text1"/>
                <w:kern w:val="0"/>
                <w:sz w:val="20"/>
                <w:szCs w:val="20"/>
                <w14:textFill>
                  <w14:solidFill>
                    <w14:schemeClr w14:val="tx1"/>
                  </w14:solidFill>
                </w14:textFill>
              </w:rPr>
              <w:t>“</w:t>
            </w:r>
            <w:r>
              <w:rPr>
                <w:rFonts w:hint="eastAsia" w:cs="宋体"/>
                <w:color w:val="000000" w:themeColor="text1"/>
                <w:kern w:val="0"/>
                <w:sz w:val="20"/>
                <w:szCs w:val="20"/>
                <w14:textFill>
                  <w14:solidFill>
                    <w14:schemeClr w14:val="tx1"/>
                  </w14:solidFill>
                </w14:textFill>
              </w:rPr>
              <w:t>支持科技成果落地转化</w:t>
            </w:r>
            <w:r>
              <w:rPr>
                <w:rFonts w:hint="eastAsia"/>
                <w:color w:val="000000" w:themeColor="text1"/>
                <w:kern w:val="0"/>
                <w:sz w:val="20"/>
                <w:szCs w:val="20"/>
                <w14:textFill>
                  <w14:solidFill>
                    <w14:schemeClr w14:val="tx1"/>
                  </w14:solidFill>
                </w14:textFill>
              </w:rPr>
              <w:t>”</w:t>
            </w:r>
            <w:r>
              <w:rPr>
                <w:rFonts w:hint="eastAsia" w:cs="宋体"/>
                <w:color w:val="000000" w:themeColor="text1"/>
                <w:kern w:val="0"/>
                <w:sz w:val="20"/>
                <w:szCs w:val="20"/>
                <w14:textFill>
                  <w14:solidFill>
                    <w14:schemeClr w14:val="tx1"/>
                  </w14:solidFill>
                </w14:textFill>
              </w:rPr>
              <w:t>执行。成功引入风险投资基金或基金管理公司（在中国证券投资基金业协会备案）、上市企业或上市企业全资子公司入股，投资期限不少于</w:t>
            </w:r>
            <w:r>
              <w:rPr>
                <w:color w:val="000000" w:themeColor="text1"/>
                <w:kern w:val="0"/>
                <w:sz w:val="20"/>
                <w:szCs w:val="20"/>
                <w14:textFill>
                  <w14:solidFill>
                    <w14:schemeClr w14:val="tx1"/>
                  </w14:solidFill>
                </w14:textFill>
              </w:rPr>
              <w:t>2</w:t>
            </w:r>
            <w:r>
              <w:rPr>
                <w:rFonts w:hint="eastAsia" w:cs="宋体"/>
                <w:color w:val="000000" w:themeColor="text1"/>
                <w:kern w:val="0"/>
                <w:sz w:val="20"/>
                <w:szCs w:val="20"/>
                <w14:textFill>
                  <w14:solidFill>
                    <w14:schemeClr w14:val="tx1"/>
                  </w14:solidFill>
                </w14:textFill>
              </w:rPr>
              <w:t>年，且已到位资金不少于</w:t>
            </w:r>
            <w:r>
              <w:rPr>
                <w:color w:val="000000" w:themeColor="text1"/>
                <w:kern w:val="0"/>
                <w:sz w:val="20"/>
                <w:szCs w:val="20"/>
                <w14:textFill>
                  <w14:solidFill>
                    <w14:schemeClr w14:val="tx1"/>
                  </w14:solidFill>
                </w14:textFill>
              </w:rPr>
              <w:t>50</w:t>
            </w:r>
            <w:r>
              <w:rPr>
                <w:rFonts w:hint="eastAsia" w:cs="宋体"/>
                <w:color w:val="000000" w:themeColor="text1"/>
                <w:kern w:val="0"/>
                <w:sz w:val="20"/>
                <w:szCs w:val="20"/>
                <w14:textFill>
                  <w14:solidFill>
                    <w14:schemeClr w14:val="tx1"/>
                  </w14:solidFill>
                </w14:textFill>
              </w:rPr>
              <w:t>万元的科技型中小企业，按照到位资金的</w:t>
            </w:r>
            <w:r>
              <w:rPr>
                <w:color w:val="000000" w:themeColor="text1"/>
                <w:kern w:val="0"/>
                <w:sz w:val="20"/>
                <w:szCs w:val="20"/>
                <w14:textFill>
                  <w14:solidFill>
                    <w14:schemeClr w14:val="tx1"/>
                  </w14:solidFill>
                </w14:textFill>
              </w:rPr>
              <w:t>10%</w:t>
            </w:r>
            <w:r>
              <w:rPr>
                <w:rFonts w:hint="eastAsia" w:cs="宋体"/>
                <w:color w:val="000000" w:themeColor="text1"/>
                <w:kern w:val="0"/>
                <w:sz w:val="20"/>
                <w:szCs w:val="20"/>
                <w14:textFill>
                  <w14:solidFill>
                    <w14:schemeClr w14:val="tx1"/>
                  </w14:solidFill>
                </w14:textFill>
              </w:rPr>
              <w:t>给予奖励，累计不超过</w:t>
            </w:r>
            <w:r>
              <w:rPr>
                <w:color w:val="000000" w:themeColor="text1"/>
                <w:kern w:val="0"/>
                <w:sz w:val="20"/>
                <w:szCs w:val="20"/>
                <w14:textFill>
                  <w14:solidFill>
                    <w14:schemeClr w14:val="tx1"/>
                  </w14:solidFill>
                </w14:textFill>
              </w:rPr>
              <w:t>100</w:t>
            </w:r>
            <w:r>
              <w:rPr>
                <w:rFonts w:hint="eastAsia" w:cs="宋体"/>
                <w:color w:val="000000" w:themeColor="text1"/>
                <w:kern w:val="0"/>
                <w:sz w:val="20"/>
                <w:szCs w:val="20"/>
                <w14:textFill>
                  <w14:solidFill>
                    <w14:schemeClr w14:val="tx1"/>
                  </w14:solidFill>
                </w14:textFill>
              </w:rPr>
              <w:t>万元。</w:t>
            </w:r>
          </w:p>
        </w:tc>
        <w:tc>
          <w:tcPr>
            <w:tcW w:w="1211"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3353"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992" w:type="dxa"/>
            <w:noWrap/>
            <w:vAlign w:val="bottom"/>
          </w:tcPr>
          <w:p>
            <w:pPr>
              <w:widowControl/>
              <w:ind w:firstLine="0" w:firstLineChars="0"/>
              <w:jc w:val="left"/>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3686" w:type="dxa"/>
            <w:gridSpan w:val="2"/>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1559" w:type="dxa"/>
            <w:vMerge w:val="continue"/>
            <w:vAlign w:val="center"/>
          </w:tcPr>
          <w:p>
            <w:pPr>
              <w:widowControl/>
              <w:ind w:firstLine="0" w:firstLineChars="0"/>
              <w:jc w:val="left"/>
              <w:rPr>
                <w:color w:val="000000" w:themeColor="text1"/>
                <w:kern w:val="0"/>
                <w:sz w:val="20"/>
                <w:szCs w:val="20"/>
                <w14:textFill>
                  <w14:solidFill>
                    <w14:schemeClr w14:val="tx1"/>
                  </w14:solidFill>
                </w14:textFill>
              </w:rPr>
            </w:pPr>
          </w:p>
        </w:tc>
        <w:tc>
          <w:tcPr>
            <w:tcW w:w="4279" w:type="dxa"/>
            <w:gridSpan w:val="2"/>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三）落地增值服务包。鼓励园区内科技、金融服务机构为本届大赛落地项目定制服务产品，并为“60强先锋奖”落地项目提供以下落地服务包服务：①科创属性提升工程专题培训；②产学研项目对接；③股权投资机构对接；④提供“鲲鹏星火”路演展示机会；⑤专属宣传报道；⑥政策申报服务；⑦企业管理咨询服务；⑧知识产权咨询服务。</w:t>
            </w:r>
          </w:p>
        </w:tc>
        <w:tc>
          <w:tcPr>
            <w:tcW w:w="1211"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c>
          <w:tcPr>
            <w:tcW w:w="3353" w:type="dxa"/>
            <w:vAlign w:val="center"/>
          </w:tcPr>
          <w:p>
            <w:pPr>
              <w:widowControl/>
              <w:ind w:firstLine="0" w:firstLineChars="0"/>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　</w:t>
            </w:r>
          </w:p>
        </w:tc>
      </w:tr>
    </w:tbl>
    <w:p>
      <w:pPr>
        <w:sectPr>
          <w:pgSz w:w="16838" w:h="11906" w:orient="landscape"/>
          <w:pgMar w:top="1800" w:right="1440" w:bottom="1800" w:left="1440" w:header="851" w:footer="992" w:gutter="0"/>
          <w:pgNumType w:fmt="decimal"/>
          <w:cols w:space="425" w:num="1"/>
          <w:docGrid w:type="lines" w:linePitch="435" w:charSpace="0"/>
        </w:sectPr>
      </w:pPr>
    </w:p>
    <w:p>
      <w:pPr>
        <w:spacing w:line="560" w:lineRule="exact"/>
        <w:ind w:firstLine="643"/>
        <w:rPr>
          <w:b/>
          <w:bCs/>
        </w:rPr>
      </w:pPr>
      <w:r>
        <w:rPr>
          <w:rFonts w:hint="eastAsia"/>
          <w:b/>
          <w:bCs/>
        </w:rPr>
        <w:t>3.</w:t>
      </w:r>
      <w:r>
        <w:rPr>
          <w:b/>
          <w:bCs/>
        </w:rPr>
        <w:t>2023年-2025年创赛</w:t>
      </w:r>
      <w:r>
        <w:rPr>
          <w:rFonts w:hint="eastAsia"/>
          <w:b/>
          <w:bCs/>
        </w:rPr>
        <w:t>奖励评选情况</w:t>
      </w:r>
    </w:p>
    <w:p>
      <w:pPr>
        <w:spacing w:line="560" w:lineRule="exact"/>
      </w:pPr>
      <w:r>
        <w:rPr>
          <w:rFonts w:hint="eastAsia"/>
        </w:rPr>
        <w:t>从奖项设置领域来看，奖项领域设置始终聚焦在机器人及智能装备制造专场、生物医药与大健康专场等6大产业方向上，2023年、2024年分别增设了“女性专场”、“港澳台专场”等特定的奖项。</w:t>
      </w:r>
    </w:p>
    <w:p>
      <w:pPr>
        <w:spacing w:line="560" w:lineRule="exact"/>
      </w:pPr>
      <w:r>
        <w:rPr>
          <w:rFonts w:hint="eastAsia"/>
        </w:rPr>
        <w:t>其次在奖项名额上不断进行扩容，2023年-2025年奖励名额分别为50个、60个、80个，实际获奖名额依次为60个、57个、72个。2023年-2025年参赛项目数量及具体获奖情况详见下表。</w:t>
      </w:r>
    </w:p>
    <w:p>
      <w:pPr>
        <w:spacing w:line="560" w:lineRule="exact"/>
      </w:pPr>
    </w:p>
    <w:p>
      <w:pPr>
        <w:sectPr>
          <w:pgSz w:w="11906" w:h="16838"/>
          <w:pgMar w:top="1440" w:right="1800" w:bottom="1440" w:left="1800" w:header="851" w:footer="992" w:gutter="0"/>
          <w:pgNumType w:fmt="decimal"/>
          <w:cols w:space="425" w:num="1"/>
          <w:docGrid w:type="lines" w:linePitch="435" w:charSpace="0"/>
        </w:sectPr>
      </w:pPr>
    </w:p>
    <w:p>
      <w:pPr>
        <w:ind w:firstLine="560"/>
        <w:jc w:val="center"/>
        <w:rPr>
          <w:rFonts w:eastAsia="黑体"/>
          <w:sz w:val="28"/>
          <w:szCs w:val="28"/>
        </w:rPr>
      </w:pPr>
      <w:r>
        <w:rPr>
          <w:rFonts w:hint="eastAsia" w:eastAsia="黑体"/>
          <w:sz w:val="28"/>
          <w:szCs w:val="28"/>
        </w:rPr>
        <w:t>表1-4 2023年-2025年创赛奖励对象及方式</w:t>
      </w:r>
    </w:p>
    <w:tbl>
      <w:tblPr>
        <w:tblStyle w:val="24"/>
        <w:tblW w:w="15161" w:type="dxa"/>
        <w:jc w:val="center"/>
        <w:tblLayout w:type="autofit"/>
        <w:tblCellMar>
          <w:top w:w="0" w:type="dxa"/>
          <w:left w:w="108" w:type="dxa"/>
          <w:bottom w:w="0" w:type="dxa"/>
          <w:right w:w="108" w:type="dxa"/>
        </w:tblCellMar>
      </w:tblPr>
      <w:tblGrid>
        <w:gridCol w:w="4446"/>
        <w:gridCol w:w="1560"/>
        <w:gridCol w:w="2394"/>
        <w:gridCol w:w="1433"/>
        <w:gridCol w:w="1984"/>
        <w:gridCol w:w="1418"/>
        <w:gridCol w:w="1926"/>
      </w:tblGrid>
      <w:tr>
        <w:trPr>
          <w:trHeight w:val="912" w:hRule="atLeast"/>
          <w:jc w:val="center"/>
        </w:trPr>
        <w:tc>
          <w:tcPr>
            <w:tcW w:w="444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所属领域</w:t>
            </w:r>
          </w:p>
        </w:tc>
        <w:tc>
          <w:tcPr>
            <w:tcW w:w="1560"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2023年参赛数量</w:t>
            </w:r>
          </w:p>
        </w:tc>
        <w:tc>
          <w:tcPr>
            <w:tcW w:w="2394"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2023年获奖数量</w:t>
            </w:r>
            <w:r>
              <w:rPr>
                <w:rFonts w:hint="eastAsia" w:cs="宋体"/>
                <w:b/>
                <w:bCs/>
                <w:color w:val="000000"/>
                <w:kern w:val="0"/>
                <w:sz w:val="24"/>
                <w:szCs w:val="24"/>
              </w:rPr>
              <w:br w:type="textWrapping"/>
            </w:r>
            <w:r>
              <w:rPr>
                <w:rFonts w:hint="eastAsia" w:cs="宋体"/>
                <w:b/>
                <w:bCs/>
                <w:color w:val="000000"/>
                <w:kern w:val="0"/>
                <w:sz w:val="24"/>
                <w:szCs w:val="24"/>
              </w:rPr>
              <w:t>（50强先锋）</w:t>
            </w:r>
          </w:p>
        </w:tc>
        <w:tc>
          <w:tcPr>
            <w:tcW w:w="1433"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2024年参赛数量</w:t>
            </w:r>
          </w:p>
        </w:tc>
        <w:tc>
          <w:tcPr>
            <w:tcW w:w="1984"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2024年获奖数量</w:t>
            </w:r>
            <w:r>
              <w:rPr>
                <w:rFonts w:hint="eastAsia" w:cs="宋体"/>
                <w:b/>
                <w:bCs/>
                <w:color w:val="000000"/>
                <w:kern w:val="0"/>
                <w:sz w:val="24"/>
                <w:szCs w:val="24"/>
              </w:rPr>
              <w:br w:type="textWrapping"/>
            </w:r>
            <w:r>
              <w:rPr>
                <w:rFonts w:hint="eastAsia" w:cs="宋体"/>
                <w:b/>
                <w:bCs/>
                <w:color w:val="000000"/>
                <w:kern w:val="0"/>
                <w:sz w:val="24"/>
                <w:szCs w:val="24"/>
              </w:rPr>
              <w:t>（60强先锋）</w:t>
            </w:r>
          </w:p>
        </w:tc>
        <w:tc>
          <w:tcPr>
            <w:tcW w:w="1418"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2025年参赛数量</w:t>
            </w:r>
          </w:p>
        </w:tc>
        <w:tc>
          <w:tcPr>
            <w:tcW w:w="192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2025年获奖数量</w:t>
            </w:r>
            <w:r>
              <w:rPr>
                <w:rFonts w:hint="eastAsia" w:cs="宋体"/>
                <w:b/>
                <w:bCs/>
                <w:color w:val="000000"/>
                <w:kern w:val="0"/>
                <w:sz w:val="24"/>
                <w:szCs w:val="24"/>
              </w:rPr>
              <w:br w:type="textWrapping"/>
            </w:r>
            <w:r>
              <w:rPr>
                <w:rFonts w:hint="eastAsia" w:cs="宋体"/>
                <w:b/>
                <w:bCs/>
                <w:color w:val="000000"/>
                <w:kern w:val="0"/>
                <w:sz w:val="24"/>
                <w:szCs w:val="24"/>
              </w:rPr>
              <w:t>（80强先锋）</w:t>
            </w:r>
          </w:p>
        </w:tc>
      </w:tr>
      <w:tr>
        <w:tblPrEx>
          <w:tblCellMar>
            <w:top w:w="0" w:type="dxa"/>
            <w:left w:w="108" w:type="dxa"/>
            <w:bottom w:w="0" w:type="dxa"/>
            <w:right w:w="108" w:type="dxa"/>
          </w:tblCellMar>
        </w:tblPrEx>
        <w:trPr>
          <w:trHeight w:val="828"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机器人及智能装备制造专场/装备“智”造专场/机器人与智能装备制造</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97</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11</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146</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9</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134</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22</w:t>
            </w:r>
          </w:p>
        </w:tc>
      </w:tr>
      <w:tr>
        <w:tblPrEx>
          <w:tblCellMar>
            <w:top w:w="0" w:type="dxa"/>
            <w:left w:w="108" w:type="dxa"/>
            <w:bottom w:w="0" w:type="dxa"/>
            <w:right w:w="108" w:type="dxa"/>
          </w:tblCellMar>
        </w:tblPrEx>
        <w:trPr>
          <w:trHeight w:val="552"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bookmarkStart w:id="28" w:name="OLE_LINK10"/>
            <w:r>
              <w:rPr>
                <w:rFonts w:hint="eastAsia" w:cs="宋体"/>
                <w:color w:val="000000"/>
                <w:kern w:val="0"/>
                <w:sz w:val="24"/>
                <w:szCs w:val="24"/>
              </w:rPr>
              <w:t>生物医药与大健康专场</w:t>
            </w:r>
            <w:bookmarkEnd w:id="28"/>
            <w:r>
              <w:rPr>
                <w:rFonts w:hint="eastAsia" w:cs="宋体"/>
                <w:color w:val="000000"/>
                <w:kern w:val="0"/>
                <w:sz w:val="24"/>
                <w:szCs w:val="24"/>
              </w:rPr>
              <w:t>/健康产业专场/生物医药与健康</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86</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8</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105</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156</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15</w:t>
            </w: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数字经济专场/数字经济专场</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117</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14</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175</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9</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trHeight w:val="552"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新材料专场/绿色产业专场/新材料与新能源</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88</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w:t>
            </w:r>
          </w:p>
        </w:tc>
        <w:tc>
          <w:tcPr>
            <w:tcW w:w="1433" w:type="dxa"/>
            <w:vMerge w:val="restart"/>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105</w:t>
            </w:r>
          </w:p>
        </w:tc>
        <w:tc>
          <w:tcPr>
            <w:tcW w:w="1984" w:type="dxa"/>
            <w:vMerge w:val="restart"/>
            <w:tcBorders>
              <w:top w:val="nil"/>
              <w:left w:val="single" w:color="auto" w:sz="4" w:space="0"/>
              <w:bottom w:val="single" w:color="000000"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7</w:t>
            </w:r>
          </w:p>
        </w:tc>
        <w:tc>
          <w:tcPr>
            <w:tcW w:w="1418" w:type="dxa"/>
            <w:vMerge w:val="restart"/>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119</w:t>
            </w:r>
          </w:p>
        </w:tc>
        <w:tc>
          <w:tcPr>
            <w:tcW w:w="1926" w:type="dxa"/>
            <w:vMerge w:val="restart"/>
            <w:tcBorders>
              <w:top w:val="nil"/>
              <w:left w:val="single" w:color="auto" w:sz="4" w:space="0"/>
              <w:bottom w:val="single" w:color="000000"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16</w:t>
            </w:r>
          </w:p>
        </w:tc>
      </w:tr>
      <w:tr>
        <w:tblPrEx>
          <w:tblCellMar>
            <w:top w:w="0" w:type="dxa"/>
            <w:left w:w="108" w:type="dxa"/>
            <w:bottom w:w="0" w:type="dxa"/>
            <w:right w:w="108" w:type="dxa"/>
          </w:tblCellMar>
        </w:tblPrEx>
        <w:trPr>
          <w:trHeight w:val="552"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新能源专场/绿色产业专场/新材料与新能源</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37</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5</w:t>
            </w:r>
          </w:p>
        </w:tc>
        <w:tc>
          <w:tcPr>
            <w:tcW w:w="1433"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p>
        </w:tc>
        <w:tc>
          <w:tcPr>
            <w:tcW w:w="1984"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color w:val="000000"/>
                <w:kern w:val="0"/>
                <w:sz w:val="24"/>
                <w:szCs w:val="24"/>
              </w:rPr>
            </w:pPr>
          </w:p>
        </w:tc>
        <w:tc>
          <w:tcPr>
            <w:tcW w:w="1418"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p>
        </w:tc>
        <w:tc>
          <w:tcPr>
            <w:tcW w:w="1926"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color w:val="000000"/>
                <w:kern w:val="0"/>
                <w:sz w:val="24"/>
                <w:szCs w:val="24"/>
              </w:rPr>
            </w:pP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半导体与集成电路</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33</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5</w:t>
            </w:r>
          </w:p>
        </w:tc>
      </w:tr>
      <w:tr>
        <w:tblPrEx>
          <w:tblCellMar>
            <w:top w:w="0" w:type="dxa"/>
            <w:left w:w="108" w:type="dxa"/>
            <w:bottom w:w="0" w:type="dxa"/>
            <w:right w:w="108" w:type="dxa"/>
          </w:tblCellMar>
        </w:tblPrEx>
        <w:trPr>
          <w:trHeight w:val="468"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新一代信息技术与智能网联汽车</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177</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14</w:t>
            </w:r>
          </w:p>
        </w:tc>
      </w:tr>
      <w:tr>
        <w:tblPrEx>
          <w:tblCellMar>
            <w:top w:w="0" w:type="dxa"/>
            <w:left w:w="108" w:type="dxa"/>
            <w:bottom w:w="0" w:type="dxa"/>
            <w:right w:w="108" w:type="dxa"/>
          </w:tblCellMar>
        </w:tblPrEx>
        <w:trPr>
          <w:trHeight w:val="552"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其他领域专场/工业设计及科技服务专场</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85</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44</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2</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bookmarkStart w:id="29" w:name="OLE_LINK16"/>
            <w:r>
              <w:rPr>
                <w:rFonts w:hint="eastAsia" w:cs="宋体"/>
                <w:color w:val="000000"/>
                <w:kern w:val="0"/>
                <w:sz w:val="24"/>
                <w:szCs w:val="24"/>
              </w:rPr>
              <w:t>港澳台专场</w:t>
            </w:r>
            <w:bookmarkEnd w:id="29"/>
            <w:r>
              <w:rPr>
                <w:rFonts w:hint="eastAsia" w:cs="宋体"/>
                <w:color w:val="000000"/>
                <w:kern w:val="0"/>
                <w:sz w:val="24"/>
                <w:szCs w:val="24"/>
              </w:rPr>
              <w:t>/港澳台新加坡专场</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50</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4</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76</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4</w:t>
            </w:r>
          </w:p>
        </w:tc>
        <w:tc>
          <w:tcPr>
            <w:tcW w:w="1418"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26"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女性专场</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68</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61</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3</w:t>
            </w:r>
          </w:p>
        </w:tc>
        <w:tc>
          <w:tcPr>
            <w:tcW w:w="1418"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26"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保荐单位推荐</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17</w:t>
            </w:r>
          </w:p>
        </w:tc>
        <w:tc>
          <w:tcPr>
            <w:tcW w:w="1418"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26" w:type="dxa"/>
            <w:tcBorders>
              <w:top w:val="nil"/>
              <w:left w:val="nil"/>
              <w:bottom w:val="single" w:color="auto" w:sz="4" w:space="0"/>
              <w:right w:val="single" w:color="auto" w:sz="4" w:space="0"/>
            </w:tcBorders>
            <w:noWrap/>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r>
      <w:tr>
        <w:tblPrEx>
          <w:tblCellMar>
            <w:top w:w="0" w:type="dxa"/>
            <w:left w:w="108" w:type="dxa"/>
            <w:bottom w:w="0" w:type="dxa"/>
            <w:right w:w="108" w:type="dxa"/>
          </w:tblCellMar>
        </w:tblPrEx>
        <w:trPr>
          <w:trHeight w:val="276" w:hRule="atLeast"/>
          <w:jc w:val="center"/>
        </w:trPr>
        <w:tc>
          <w:tcPr>
            <w:tcW w:w="4446"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小计</w:t>
            </w:r>
          </w:p>
        </w:tc>
        <w:tc>
          <w:tcPr>
            <w:tcW w:w="15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628</w:t>
            </w:r>
          </w:p>
        </w:tc>
        <w:tc>
          <w:tcPr>
            <w:tcW w:w="239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60（50+10）</w:t>
            </w:r>
          </w:p>
        </w:tc>
        <w:tc>
          <w:tcPr>
            <w:tcW w:w="1433"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712</w:t>
            </w:r>
          </w:p>
        </w:tc>
        <w:tc>
          <w:tcPr>
            <w:tcW w:w="1984"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57</w:t>
            </w:r>
          </w:p>
        </w:tc>
        <w:tc>
          <w:tcPr>
            <w:tcW w:w="1418"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619</w:t>
            </w:r>
          </w:p>
        </w:tc>
        <w:tc>
          <w:tcPr>
            <w:tcW w:w="1926"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72</w:t>
            </w:r>
          </w:p>
        </w:tc>
      </w:tr>
      <w:tr>
        <w:tblPrEx>
          <w:tblCellMar>
            <w:top w:w="0" w:type="dxa"/>
            <w:left w:w="108" w:type="dxa"/>
            <w:bottom w:w="0" w:type="dxa"/>
            <w:right w:w="108" w:type="dxa"/>
          </w:tblCellMar>
        </w:tblPrEx>
        <w:trPr>
          <w:trHeight w:val="444" w:hRule="atLeast"/>
          <w:jc w:val="center"/>
        </w:trPr>
        <w:tc>
          <w:tcPr>
            <w:tcW w:w="15161" w:type="dxa"/>
            <w:gridSpan w:val="7"/>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hint="eastAsia" w:cs="宋体"/>
                <w:b/>
                <w:bCs/>
                <w:color w:val="000000"/>
                <w:kern w:val="0"/>
                <w:sz w:val="24"/>
                <w:szCs w:val="24"/>
              </w:rPr>
              <w:t>备注：</w:t>
            </w:r>
            <w:r>
              <w:rPr>
                <w:rFonts w:hint="eastAsia" w:cs="宋体"/>
                <w:color w:val="000000"/>
                <w:kern w:val="0"/>
                <w:sz w:val="24"/>
                <w:szCs w:val="24"/>
              </w:rPr>
              <w:t>2025年先锋获奖的人员清单中，共5个方向，每个方向1名优秀青年创业奖、优秀港澳创业奖，5个方向共计10个专项奖。</w:t>
            </w:r>
          </w:p>
        </w:tc>
      </w:tr>
    </w:tbl>
    <w:p>
      <w:pPr>
        <w:sectPr>
          <w:pgSz w:w="16838" w:h="11906" w:orient="landscape"/>
          <w:pgMar w:top="1800" w:right="1440" w:bottom="1800" w:left="1440" w:header="851" w:footer="992" w:gutter="0"/>
          <w:pgNumType w:fmt="decimal"/>
          <w:cols w:space="425" w:num="1"/>
          <w:docGrid w:type="lines" w:linePitch="435" w:charSpace="0"/>
        </w:sectPr>
      </w:pP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30" w:name="_Toc232169754"/>
      <w:bookmarkStart w:id="31" w:name="_Toc32730"/>
      <w:bookmarkStart w:id="32" w:name="_Toc5942"/>
      <w:r>
        <w:rPr>
          <w:rFonts w:hint="eastAsia"/>
          <w:kern w:val="0"/>
        </w:rPr>
        <w:t>（四）资金投入及使用情况</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textAlignment w:val="auto"/>
      </w:pPr>
      <w:bookmarkStart w:id="33" w:name="_Hlk231994327"/>
      <w:r>
        <w:rPr>
          <w:rFonts w:hint="eastAsia"/>
        </w:rPr>
        <w:t>近10年来，创赛整体投入及支出情况。2015年-2025年，大赛累计安排预算14235.48万元，实际支出7671.23万元，预算执行率53.89%，执行率较低的原因是赛事奖励预算一般按照“满员”名额申请以保障大赛顺利举办，执行数则是结合项目实际入驻表现后予以兑付，所以存在较大差异，并且2023-2025年度部分赛事奖项仍在兑付中或尚未到达兑付年限。其中，赛事组织预算3786.48万元，实际支出3786.23万元，预算执行率99.99%；赛事奖励安排预算11445万元，实际支出3885万元（不包含2023年-2025年举行的比赛尚未兑付的奖励资金，按100%兑付预计仍需要再支出奖金合计2950万元），预算执行率33.95%。</w:t>
      </w:r>
    </w:p>
    <w:bookmarkEnd w:id="33"/>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2015-2025年大赛资金投入及使用情况如下表所示：</w:t>
      </w:r>
    </w:p>
    <w:p>
      <w:pPr>
        <w:ind w:firstLine="0" w:firstLineChars="0"/>
        <w:jc w:val="center"/>
        <w:rPr>
          <w:rFonts w:eastAsia="黑体"/>
          <w:sz w:val="28"/>
          <w:szCs w:val="28"/>
        </w:rPr>
      </w:pPr>
      <w:r>
        <w:rPr>
          <w:rFonts w:hint="eastAsia" w:eastAsia="黑体"/>
          <w:sz w:val="28"/>
          <w:szCs w:val="28"/>
        </w:rPr>
        <w:t>表1-5  2015-2025年大赛预算投入及使用情况</w:t>
      </w:r>
    </w:p>
    <w:tbl>
      <w:tblPr>
        <w:tblStyle w:val="24"/>
        <w:tblW w:w="5156" w:type="pct"/>
        <w:jc w:val="center"/>
        <w:tblLayout w:type="autofit"/>
        <w:tblCellMar>
          <w:top w:w="0" w:type="dxa"/>
          <w:left w:w="108" w:type="dxa"/>
          <w:bottom w:w="0" w:type="dxa"/>
          <w:right w:w="108" w:type="dxa"/>
        </w:tblCellMar>
      </w:tblPr>
      <w:tblGrid>
        <w:gridCol w:w="696"/>
        <w:gridCol w:w="996"/>
        <w:gridCol w:w="996"/>
        <w:gridCol w:w="1076"/>
        <w:gridCol w:w="816"/>
        <w:gridCol w:w="696"/>
        <w:gridCol w:w="1076"/>
        <w:gridCol w:w="1116"/>
        <w:gridCol w:w="1116"/>
        <w:gridCol w:w="1421"/>
      </w:tblGrid>
      <w:tr>
        <w:tblPrEx>
          <w:tblCellMar>
            <w:top w:w="0" w:type="dxa"/>
            <w:left w:w="108" w:type="dxa"/>
            <w:bottom w:w="0" w:type="dxa"/>
            <w:right w:w="108" w:type="dxa"/>
          </w:tblCellMar>
        </w:tblPrEx>
        <w:trPr>
          <w:tblHeader/>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年份</w:t>
            </w:r>
          </w:p>
        </w:tc>
        <w:tc>
          <w:tcPr>
            <w:tcW w:w="1485" w:type="pct"/>
            <w:gridSpan w:val="3"/>
            <w:tcBorders>
              <w:top w:val="single" w:color="auto" w:sz="4" w:space="0"/>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赛事组织（万元）</w:t>
            </w:r>
          </w:p>
        </w:tc>
        <w:tc>
          <w:tcPr>
            <w:tcW w:w="1263" w:type="pct"/>
            <w:gridSpan w:val="3"/>
            <w:tcBorders>
              <w:top w:val="single" w:color="auto" w:sz="4" w:space="0"/>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赛事奖励（万元）</w:t>
            </w:r>
          </w:p>
        </w:tc>
        <w:tc>
          <w:tcPr>
            <w:tcW w:w="1755" w:type="pct"/>
            <w:gridSpan w:val="3"/>
            <w:tcBorders>
              <w:top w:val="single" w:color="auto" w:sz="4" w:space="0"/>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总预算（万元）</w:t>
            </w:r>
          </w:p>
        </w:tc>
      </w:tr>
      <w:tr>
        <w:tblPrEx>
          <w:tblCellMar>
            <w:top w:w="0" w:type="dxa"/>
            <w:left w:w="108" w:type="dxa"/>
            <w:bottom w:w="0" w:type="dxa"/>
            <w:right w:w="108" w:type="dxa"/>
          </w:tblCellMar>
        </w:tblPrEx>
        <w:trPr>
          <w:tblHeader/>
          <w:jc w:val="center"/>
        </w:trPr>
        <w:tc>
          <w:tcPr>
            <w:tcW w:w="496" w:type="pct"/>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预算数</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执行数</w:t>
            </w:r>
          </w:p>
        </w:tc>
        <w:tc>
          <w:tcPr>
            <w:tcW w:w="51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预算执行率</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预算数</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执行数</w:t>
            </w:r>
          </w:p>
        </w:tc>
        <w:tc>
          <w:tcPr>
            <w:tcW w:w="51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预算执行率</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预算数</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执行数</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b/>
                <w:bCs/>
                <w:kern w:val="0"/>
                <w:sz w:val="24"/>
                <w:szCs w:val="24"/>
              </w:rPr>
            </w:pPr>
            <w:r>
              <w:rPr>
                <w:rFonts w:hint="eastAsia" w:cs="宋体"/>
                <w:b/>
                <w:bCs/>
                <w:kern w:val="0"/>
                <w:sz w:val="24"/>
                <w:szCs w:val="24"/>
              </w:rPr>
              <w:t>预算执行率</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合计</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cs="宋体"/>
                <w:b/>
                <w:bCs/>
                <w:color w:val="000000"/>
                <w:kern w:val="0"/>
                <w:sz w:val="24"/>
                <w:szCs w:val="24"/>
              </w:rPr>
              <w:t>3786.48</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cs="宋体"/>
                <w:b/>
                <w:bCs/>
                <w:color w:val="000000"/>
                <w:kern w:val="0"/>
                <w:sz w:val="24"/>
                <w:szCs w:val="24"/>
              </w:rPr>
              <w:t>3786.2</w:t>
            </w:r>
            <w:r>
              <w:rPr>
                <w:rFonts w:hint="eastAsia" w:cs="宋体"/>
                <w:b/>
                <w:bCs/>
                <w:color w:val="000000"/>
                <w:kern w:val="0"/>
                <w:sz w:val="24"/>
                <w:szCs w:val="24"/>
              </w:rPr>
              <w:t>3</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b/>
                <w:bCs/>
                <w:kern w:val="0"/>
                <w:sz w:val="24"/>
                <w:szCs w:val="24"/>
              </w:rPr>
            </w:pPr>
            <w:r>
              <w:rPr>
                <w:rFonts w:cs="宋体"/>
                <w:b/>
                <w:bCs/>
                <w:kern w:val="0"/>
                <w:sz w:val="24"/>
                <w:szCs w:val="24"/>
              </w:rPr>
              <w:t>99.99%</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11445</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hint="eastAsia" w:cs="宋体"/>
                <w:b/>
                <w:bCs/>
                <w:color w:val="000000"/>
                <w:kern w:val="0"/>
                <w:sz w:val="24"/>
                <w:szCs w:val="24"/>
              </w:rPr>
              <w:t>3885</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b/>
                <w:bCs/>
                <w:kern w:val="0"/>
                <w:sz w:val="24"/>
                <w:szCs w:val="24"/>
              </w:rPr>
            </w:pPr>
            <w:bookmarkStart w:id="34" w:name="OLE_LINK26"/>
            <w:r>
              <w:rPr>
                <w:rFonts w:hint="eastAsia" w:cs="宋体"/>
                <w:b/>
                <w:bCs/>
                <w:kern w:val="0"/>
                <w:sz w:val="24"/>
                <w:szCs w:val="24"/>
              </w:rPr>
              <w:t>33.95%</w:t>
            </w:r>
            <w:bookmarkEnd w:id="34"/>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cs="宋体"/>
                <w:b/>
                <w:bCs/>
                <w:color w:val="000000"/>
                <w:kern w:val="0"/>
                <w:sz w:val="24"/>
                <w:szCs w:val="24"/>
              </w:rPr>
              <w:t>14235.48</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b/>
                <w:bCs/>
                <w:color w:val="000000"/>
                <w:kern w:val="0"/>
                <w:sz w:val="24"/>
                <w:szCs w:val="24"/>
              </w:rPr>
            </w:pPr>
            <w:r>
              <w:rPr>
                <w:rFonts w:cs="宋体"/>
                <w:b/>
                <w:bCs/>
                <w:color w:val="000000"/>
                <w:kern w:val="0"/>
                <w:sz w:val="24"/>
                <w:szCs w:val="24"/>
              </w:rPr>
              <w:t>7671.226</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b/>
                <w:bCs/>
                <w:kern w:val="0"/>
                <w:sz w:val="24"/>
                <w:szCs w:val="24"/>
              </w:rPr>
            </w:pPr>
            <w:r>
              <w:rPr>
                <w:rFonts w:hint="eastAsia" w:cs="宋体"/>
                <w:b/>
                <w:bCs/>
                <w:kern w:val="0"/>
                <w:sz w:val="24"/>
                <w:szCs w:val="24"/>
              </w:rPr>
              <w:t>53.89%</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2015</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85</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85</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430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430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515</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515</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2016</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199.7</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199.7</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540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305</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56.48%</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739.7</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504.7</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68.23%</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2017</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633.78</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633.78</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610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345</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56.56%</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1243.78</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978.78</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78.69%</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2018</w:t>
            </w:r>
          </w:p>
        </w:tc>
        <w:tc>
          <w:tcPr>
            <w:tcW w:w="4503" w:type="pct"/>
            <w:gridSpan w:val="9"/>
            <w:tcBorders>
              <w:top w:val="single" w:color="auto" w:sz="4" w:space="0"/>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未举办</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2019</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610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610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2540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980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38.58%</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3150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1590</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50.48%</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770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770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3395</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1100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32.40%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4165</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1870</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44.90%</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2021</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470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470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100.00%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560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390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69.64%</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1030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860</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83.50%</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2022</w:t>
            </w:r>
          </w:p>
        </w:tc>
        <w:tc>
          <w:tcPr>
            <w:tcW w:w="4503" w:type="pct"/>
            <w:gridSpan w:val="9"/>
            <w:tcBorders>
              <w:top w:val="single" w:color="auto" w:sz="4" w:space="0"/>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未举办</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2023</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370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368</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cs="宋体"/>
                <w:color w:val="000000"/>
                <w:kern w:val="0"/>
                <w:sz w:val="24"/>
                <w:szCs w:val="24"/>
              </w:rPr>
              <w:t>99.46%</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620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120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19.35%</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990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488</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cs="宋体"/>
                <w:color w:val="000000"/>
                <w:kern w:val="0"/>
                <w:sz w:val="24"/>
                <w:szCs w:val="24"/>
              </w:rPr>
              <w:t>49.29%</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2024</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372</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369.846</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cs="宋体"/>
                <w:color w:val="000000"/>
                <w:kern w:val="0"/>
                <w:sz w:val="24"/>
                <w:szCs w:val="24"/>
              </w:rPr>
              <w:t>99.31%</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1050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215</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20.48%</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1422</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584.846</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cs="宋体"/>
                <w:color w:val="000000"/>
                <w:kern w:val="0"/>
                <w:sz w:val="24"/>
                <w:szCs w:val="24"/>
              </w:rPr>
              <w:t>41.12%</w:t>
            </w:r>
          </w:p>
        </w:tc>
      </w:tr>
      <w:tr>
        <w:tblPrEx>
          <w:tblCellMar>
            <w:top w:w="0" w:type="dxa"/>
            <w:left w:w="108" w:type="dxa"/>
            <w:bottom w:w="0" w:type="dxa"/>
            <w:right w:w="108" w:type="dxa"/>
          </w:tblCellMar>
        </w:tblPrEx>
        <w:trPr>
          <w:jc w:val="center"/>
        </w:trPr>
        <w:tc>
          <w:tcPr>
            <w:tcW w:w="496" w:type="pct"/>
            <w:tcBorders>
              <w:top w:val="nil"/>
              <w:left w:val="single" w:color="auto" w:sz="4" w:space="0"/>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2025</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280</w:t>
            </w:r>
          </w:p>
        </w:tc>
        <w:tc>
          <w:tcPr>
            <w:tcW w:w="482"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279.9</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cs="宋体"/>
                <w:color w:val="000000"/>
                <w:kern w:val="0"/>
                <w:sz w:val="24"/>
                <w:szCs w:val="24"/>
              </w:rPr>
              <w:t>93.30%</w:t>
            </w:r>
          </w:p>
        </w:tc>
        <w:tc>
          <w:tcPr>
            <w:tcW w:w="399"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1700</w:t>
            </w:r>
          </w:p>
        </w:tc>
        <w:tc>
          <w:tcPr>
            <w:tcW w:w="344"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0</w:t>
            </w:r>
          </w:p>
        </w:tc>
        <w:tc>
          <w:tcPr>
            <w:tcW w:w="519"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hint="eastAsia" w:cs="宋体"/>
                <w:color w:val="000000"/>
                <w:kern w:val="0"/>
                <w:sz w:val="24"/>
                <w:szCs w:val="24"/>
              </w:rPr>
              <w:t>1980</w:t>
            </w:r>
          </w:p>
        </w:tc>
        <w:tc>
          <w:tcPr>
            <w:tcW w:w="538" w:type="pct"/>
            <w:tcBorders>
              <w:top w:val="nil"/>
              <w:left w:val="nil"/>
              <w:bottom w:val="single" w:color="auto" w:sz="4" w:space="0"/>
              <w:right w:val="single" w:color="auto" w:sz="4" w:space="0"/>
            </w:tcBorders>
            <w:vAlign w:val="center"/>
          </w:tcPr>
          <w:p>
            <w:pPr>
              <w:widowControl/>
              <w:snapToGrid w:val="0"/>
              <w:ind w:firstLine="0" w:firstLineChars="0"/>
              <w:jc w:val="center"/>
              <w:rPr>
                <w:rFonts w:cs="宋体"/>
                <w:color w:val="000000"/>
                <w:kern w:val="0"/>
                <w:sz w:val="24"/>
                <w:szCs w:val="24"/>
              </w:rPr>
            </w:pPr>
            <w:r>
              <w:rPr>
                <w:rFonts w:cs="宋体"/>
                <w:color w:val="000000"/>
                <w:kern w:val="0"/>
                <w:sz w:val="24"/>
                <w:szCs w:val="24"/>
              </w:rPr>
              <w:t>279.9</w:t>
            </w:r>
          </w:p>
        </w:tc>
        <w:tc>
          <w:tcPr>
            <w:tcW w:w="678" w:type="pct"/>
            <w:tcBorders>
              <w:top w:val="nil"/>
              <w:left w:val="nil"/>
              <w:bottom w:val="single" w:color="auto" w:sz="4" w:space="0"/>
              <w:right w:val="single" w:color="auto" w:sz="4" w:space="0"/>
            </w:tcBorders>
            <w:noWrap/>
            <w:vAlign w:val="center"/>
          </w:tcPr>
          <w:p>
            <w:pPr>
              <w:widowControl/>
              <w:snapToGrid w:val="0"/>
              <w:ind w:firstLine="0" w:firstLineChars="0"/>
              <w:jc w:val="center"/>
              <w:rPr>
                <w:rFonts w:cs="宋体"/>
                <w:kern w:val="0"/>
                <w:sz w:val="24"/>
                <w:szCs w:val="24"/>
              </w:rPr>
            </w:pPr>
            <w:r>
              <w:rPr>
                <w:rFonts w:hint="eastAsia" w:cs="宋体"/>
                <w:kern w:val="0"/>
                <w:sz w:val="24"/>
                <w:szCs w:val="24"/>
              </w:rPr>
              <w:t>14.13%</w:t>
            </w:r>
          </w:p>
        </w:tc>
      </w:tr>
    </w:tbl>
    <w:p>
      <w:pPr>
        <w:spacing w:line="560" w:lineRule="exact"/>
      </w:pPr>
      <w:r>
        <w:rPr>
          <w:rFonts w:hint="eastAsia"/>
        </w:rPr>
        <w:t>本次绩效评价聚焦于2023年-2025年的预算执行情况，其中赛事创办费用均已支出，各项赛事奖项仅部分完成兑付，包括2023年针对支持赛事的平台奖励“大赛优秀组织奖金”、2024年“先锋奖60强项目落地奖金”，其他赛事奖励资金尚无兑付。具体情况如下表：</w:t>
      </w:r>
    </w:p>
    <w:p>
      <w:pPr>
        <w:ind w:firstLine="0" w:firstLineChars="0"/>
        <w:jc w:val="center"/>
        <w:rPr>
          <w:rFonts w:eastAsia="黑体"/>
          <w:sz w:val="28"/>
          <w:szCs w:val="28"/>
        </w:rPr>
      </w:pPr>
      <w:r>
        <w:rPr>
          <w:rFonts w:hint="eastAsia" w:eastAsia="黑体"/>
          <w:sz w:val="28"/>
          <w:szCs w:val="28"/>
        </w:rPr>
        <w:t>表1-6  2023-2025年大赛预算明细投入及使用情况</w:t>
      </w:r>
    </w:p>
    <w:tbl>
      <w:tblPr>
        <w:tblStyle w:val="24"/>
        <w:tblW w:w="10490" w:type="dxa"/>
        <w:tblInd w:w="-1026" w:type="dxa"/>
        <w:tblLayout w:type="fixed"/>
        <w:tblCellMar>
          <w:top w:w="0" w:type="dxa"/>
          <w:left w:w="108" w:type="dxa"/>
          <w:bottom w:w="0" w:type="dxa"/>
          <w:right w:w="108" w:type="dxa"/>
        </w:tblCellMar>
      </w:tblPr>
      <w:tblGrid>
        <w:gridCol w:w="708"/>
        <w:gridCol w:w="2081"/>
        <w:gridCol w:w="1180"/>
        <w:gridCol w:w="1134"/>
        <w:gridCol w:w="1276"/>
        <w:gridCol w:w="4111"/>
      </w:tblGrid>
      <w:tr>
        <w:tblPrEx>
          <w:tblCellMar>
            <w:top w:w="0" w:type="dxa"/>
            <w:left w:w="108" w:type="dxa"/>
            <w:bottom w:w="0" w:type="dxa"/>
            <w:right w:w="108" w:type="dxa"/>
          </w:tblCellMar>
        </w:tblPrEx>
        <w:trPr>
          <w:trHeight w:val="576" w:hRule="atLeast"/>
          <w:tblHeader/>
        </w:trPr>
        <w:tc>
          <w:tcPr>
            <w:tcW w:w="708"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年份</w:t>
            </w:r>
          </w:p>
        </w:tc>
        <w:tc>
          <w:tcPr>
            <w:tcW w:w="2081"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预算科目</w:t>
            </w:r>
          </w:p>
        </w:tc>
        <w:tc>
          <w:tcPr>
            <w:tcW w:w="1180"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当年预算</w:t>
            </w:r>
            <w:r>
              <w:rPr>
                <w:rFonts w:cs="宋体"/>
                <w:b/>
                <w:bCs/>
                <w:color w:val="000000"/>
                <w:kern w:val="0"/>
                <w:sz w:val="24"/>
                <w:szCs w:val="24"/>
              </w:rPr>
              <w:br w:type="textWrapping"/>
            </w:r>
            <w:r>
              <w:rPr>
                <w:rFonts w:cs="宋体"/>
                <w:b/>
                <w:bCs/>
                <w:color w:val="000000"/>
                <w:kern w:val="0"/>
                <w:sz w:val="24"/>
                <w:szCs w:val="24"/>
              </w:rPr>
              <w:t>(万元)</w:t>
            </w:r>
          </w:p>
        </w:tc>
        <w:tc>
          <w:tcPr>
            <w:tcW w:w="1134"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实际支出(万元)</w:t>
            </w:r>
          </w:p>
        </w:tc>
        <w:tc>
          <w:tcPr>
            <w:tcW w:w="1276"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支出率</w:t>
            </w:r>
            <w:r>
              <w:rPr>
                <w:rFonts w:cs="宋体"/>
                <w:b/>
                <w:bCs/>
                <w:color w:val="000000"/>
                <w:kern w:val="0"/>
                <w:sz w:val="24"/>
                <w:szCs w:val="24"/>
              </w:rPr>
              <w:br w:type="textWrapping"/>
            </w:r>
            <w:r>
              <w:rPr>
                <w:rFonts w:cs="宋体"/>
                <w:b/>
                <w:bCs/>
                <w:color w:val="000000"/>
                <w:kern w:val="0"/>
                <w:sz w:val="24"/>
                <w:szCs w:val="24"/>
              </w:rPr>
              <w:t>（%）</w:t>
            </w:r>
          </w:p>
        </w:tc>
        <w:tc>
          <w:tcPr>
            <w:tcW w:w="4111"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备注</w:t>
            </w:r>
          </w:p>
        </w:tc>
      </w:tr>
      <w:tr>
        <w:tblPrEx>
          <w:tblCellMar>
            <w:top w:w="0" w:type="dxa"/>
            <w:left w:w="108" w:type="dxa"/>
            <w:bottom w:w="0" w:type="dxa"/>
            <w:right w:w="108" w:type="dxa"/>
          </w:tblCellMar>
        </w:tblPrEx>
        <w:trPr>
          <w:trHeight w:val="540" w:hRule="atLeast"/>
        </w:trPr>
        <w:tc>
          <w:tcPr>
            <w:tcW w:w="708" w:type="dxa"/>
            <w:vMerge w:val="restart"/>
            <w:tcBorders>
              <w:top w:val="nil"/>
              <w:left w:val="single" w:color="auto" w:sz="4" w:space="0"/>
              <w:bottom w:val="single" w:color="000000" w:sz="4" w:space="0"/>
              <w:right w:val="single" w:color="auto" w:sz="4" w:space="0"/>
            </w:tcBorders>
            <w:vAlign w:val="center"/>
          </w:tcPr>
          <w:p>
            <w:pPr>
              <w:widowControl/>
              <w:ind w:firstLine="0" w:firstLineChars="0"/>
              <w:jc w:val="center"/>
              <w:rPr>
                <w:rFonts w:cs="宋体"/>
                <w:kern w:val="0"/>
                <w:sz w:val="24"/>
                <w:szCs w:val="24"/>
              </w:rPr>
            </w:pPr>
            <w:r>
              <w:rPr>
                <w:rFonts w:cs="宋体"/>
                <w:kern w:val="0"/>
                <w:sz w:val="24"/>
                <w:szCs w:val="24"/>
              </w:rPr>
              <w:t>2023</w:t>
            </w: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整体承办费用</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370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368</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99.46%</w:t>
            </w:r>
          </w:p>
        </w:tc>
        <w:tc>
          <w:tcPr>
            <w:tcW w:w="411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　</w:t>
            </w:r>
          </w:p>
        </w:tc>
      </w:tr>
      <w:tr>
        <w:tblPrEx>
          <w:tblCellMar>
            <w:top w:w="0" w:type="dxa"/>
            <w:left w:w="108" w:type="dxa"/>
            <w:bottom w:w="0" w:type="dxa"/>
            <w:right w:w="108" w:type="dxa"/>
          </w:tblCellMar>
        </w:tblPrEx>
        <w:trPr>
          <w:trHeight w:val="468"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大赛优秀组织奖金</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120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120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100.00%</w:t>
            </w:r>
          </w:p>
        </w:tc>
        <w:tc>
          <w:tcPr>
            <w:tcW w:w="411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　</w:t>
            </w:r>
          </w:p>
        </w:tc>
      </w:tr>
      <w:tr>
        <w:tblPrEx>
          <w:tblCellMar>
            <w:top w:w="0" w:type="dxa"/>
            <w:left w:w="108" w:type="dxa"/>
            <w:bottom w:w="0" w:type="dxa"/>
            <w:right w:w="108" w:type="dxa"/>
          </w:tblCellMar>
        </w:tblPrEx>
        <w:trPr>
          <w:trHeight w:val="1008"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项目落地租金补贴</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500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计划202</w:t>
            </w:r>
            <w:r>
              <w:rPr>
                <w:rFonts w:hint="eastAsia" w:cs="宋体"/>
                <w:color w:val="000000"/>
                <w:kern w:val="0"/>
                <w:sz w:val="24"/>
                <w:szCs w:val="24"/>
              </w:rPr>
              <w:t>6</w:t>
            </w:r>
            <w:r>
              <w:rPr>
                <w:rFonts w:cs="宋体"/>
                <w:color w:val="000000"/>
                <w:kern w:val="0"/>
                <w:sz w:val="24"/>
                <w:szCs w:val="24"/>
              </w:rPr>
              <w:t>年支付，针对落地“先锋奖”项目，</w:t>
            </w:r>
            <w:r>
              <w:rPr>
                <w:rFonts w:hint="eastAsia" w:cs="宋体"/>
                <w:color w:val="000000"/>
                <w:kern w:val="0"/>
                <w:sz w:val="24"/>
                <w:szCs w:val="24"/>
              </w:rPr>
              <w:t>给予第2</w:t>
            </w:r>
            <w:r>
              <w:rPr>
                <w:rFonts w:cs="宋体"/>
                <w:color w:val="000000"/>
                <w:kern w:val="0"/>
                <w:sz w:val="24"/>
                <w:szCs w:val="24"/>
              </w:rPr>
              <w:t>年租金补贴，不超过10万元，暂未发放，目前正在处于勘察过程中。</w:t>
            </w:r>
          </w:p>
        </w:tc>
      </w:tr>
      <w:tr>
        <w:tblPrEx>
          <w:tblCellMar>
            <w:top w:w="0" w:type="dxa"/>
            <w:left w:w="108" w:type="dxa"/>
            <w:bottom w:w="0" w:type="dxa"/>
            <w:right w:w="108" w:type="dxa"/>
          </w:tblCellMar>
        </w:tblPrEx>
        <w:trPr>
          <w:trHeight w:val="516"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小计</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990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488</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49.29%</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　</w:t>
            </w:r>
          </w:p>
        </w:tc>
      </w:tr>
      <w:tr>
        <w:tblPrEx>
          <w:tblCellMar>
            <w:top w:w="0" w:type="dxa"/>
            <w:left w:w="108" w:type="dxa"/>
            <w:bottom w:w="0" w:type="dxa"/>
            <w:right w:w="108" w:type="dxa"/>
          </w:tblCellMar>
        </w:tblPrEx>
        <w:trPr>
          <w:trHeight w:val="624" w:hRule="atLeast"/>
        </w:trPr>
        <w:tc>
          <w:tcPr>
            <w:tcW w:w="708" w:type="dxa"/>
            <w:vMerge w:val="restart"/>
            <w:tcBorders>
              <w:top w:val="nil"/>
              <w:left w:val="single" w:color="auto" w:sz="4" w:space="0"/>
              <w:bottom w:val="single" w:color="000000" w:sz="4" w:space="0"/>
              <w:right w:val="single" w:color="auto" w:sz="4" w:space="0"/>
            </w:tcBorders>
            <w:vAlign w:val="center"/>
          </w:tcPr>
          <w:p>
            <w:pPr>
              <w:widowControl/>
              <w:ind w:firstLine="0" w:firstLineChars="0"/>
              <w:jc w:val="center"/>
              <w:rPr>
                <w:rFonts w:cs="宋体"/>
                <w:kern w:val="0"/>
                <w:sz w:val="24"/>
                <w:szCs w:val="24"/>
              </w:rPr>
            </w:pPr>
            <w:r>
              <w:rPr>
                <w:rFonts w:cs="宋体"/>
                <w:kern w:val="0"/>
                <w:sz w:val="24"/>
                <w:szCs w:val="24"/>
              </w:rPr>
              <w:t>2024</w:t>
            </w: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整体承办费用</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372.4</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369.846</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99.31%</w:t>
            </w:r>
          </w:p>
        </w:tc>
        <w:tc>
          <w:tcPr>
            <w:tcW w:w="4111" w:type="dxa"/>
            <w:tcBorders>
              <w:top w:val="nil"/>
              <w:left w:val="nil"/>
              <w:bottom w:val="single" w:color="auto" w:sz="4" w:space="0"/>
              <w:right w:val="single" w:color="auto" w:sz="4" w:space="0"/>
            </w:tcBorders>
            <w:vAlign w:val="bottom"/>
          </w:tcPr>
          <w:p>
            <w:pPr>
              <w:widowControl/>
              <w:ind w:firstLine="0" w:firstLineChars="0"/>
              <w:jc w:val="left"/>
              <w:rPr>
                <w:rFonts w:cs="宋体"/>
                <w:color w:val="000000"/>
                <w:kern w:val="0"/>
                <w:sz w:val="24"/>
                <w:szCs w:val="24"/>
              </w:rPr>
            </w:pPr>
            <w:r>
              <w:rPr>
                <w:rFonts w:cs="宋体"/>
                <w:color w:val="000000"/>
                <w:kern w:val="0"/>
                <w:sz w:val="24"/>
                <w:szCs w:val="24"/>
              </w:rPr>
              <w:t>预算包含组织费用302.4万元、宣传推广费用70万元。</w:t>
            </w:r>
          </w:p>
        </w:tc>
      </w:tr>
      <w:tr>
        <w:tblPrEx>
          <w:tblCellMar>
            <w:top w:w="0" w:type="dxa"/>
            <w:left w:w="108" w:type="dxa"/>
            <w:bottom w:w="0" w:type="dxa"/>
            <w:right w:w="108" w:type="dxa"/>
          </w:tblCellMar>
        </w:tblPrEx>
        <w:trPr>
          <w:trHeight w:val="624"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先锋奖60强项目落地奖金</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300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215</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71.67%</w:t>
            </w:r>
          </w:p>
        </w:tc>
        <w:tc>
          <w:tcPr>
            <w:tcW w:w="4111" w:type="dxa"/>
            <w:tcBorders>
              <w:top w:val="nil"/>
              <w:left w:val="nil"/>
              <w:bottom w:val="single" w:color="auto" w:sz="4" w:space="0"/>
              <w:right w:val="single" w:color="auto" w:sz="4" w:space="0"/>
            </w:tcBorders>
            <w:vAlign w:val="bottom"/>
          </w:tcPr>
          <w:p>
            <w:pPr>
              <w:widowControl/>
              <w:ind w:firstLine="0" w:firstLineChars="0"/>
              <w:jc w:val="left"/>
              <w:rPr>
                <w:rFonts w:cs="宋体"/>
                <w:color w:val="000000"/>
                <w:kern w:val="0"/>
                <w:sz w:val="24"/>
                <w:szCs w:val="24"/>
              </w:rPr>
            </w:pPr>
            <w:r>
              <w:rPr>
                <w:rFonts w:cs="宋体"/>
                <w:color w:val="000000"/>
                <w:kern w:val="0"/>
                <w:sz w:val="24"/>
                <w:szCs w:val="24"/>
              </w:rPr>
              <w:t>2025年10月共计奖励43个项目，每个项目奖励5万元，共计奖励215万元。</w:t>
            </w:r>
          </w:p>
        </w:tc>
      </w:tr>
      <w:tr>
        <w:tblPrEx>
          <w:tblCellMar>
            <w:top w:w="0" w:type="dxa"/>
            <w:left w:w="108" w:type="dxa"/>
            <w:bottom w:w="0" w:type="dxa"/>
            <w:right w:w="108" w:type="dxa"/>
          </w:tblCellMar>
        </w:tblPrEx>
        <w:trPr>
          <w:trHeight w:val="624"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项目落地租金补贴</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600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bottom"/>
          </w:tcPr>
          <w:p>
            <w:pPr>
              <w:widowControl/>
              <w:ind w:firstLine="0" w:firstLineChars="0"/>
              <w:jc w:val="left"/>
              <w:rPr>
                <w:rFonts w:cs="宋体"/>
                <w:color w:val="000000"/>
                <w:kern w:val="0"/>
                <w:sz w:val="24"/>
                <w:szCs w:val="24"/>
              </w:rPr>
            </w:pPr>
            <w:r>
              <w:rPr>
                <w:rFonts w:cs="宋体"/>
                <w:color w:val="000000"/>
                <w:kern w:val="0"/>
                <w:sz w:val="24"/>
                <w:szCs w:val="24"/>
              </w:rPr>
              <w:t>管委会为获奖项目免租1年</w:t>
            </w:r>
            <w:r>
              <w:rPr>
                <w:rFonts w:hint="eastAsia" w:cs="宋体"/>
                <w:color w:val="000000"/>
                <w:kern w:val="0"/>
                <w:sz w:val="24"/>
                <w:szCs w:val="24"/>
              </w:rPr>
              <w:t>（</w:t>
            </w:r>
            <w:r>
              <w:rPr>
                <w:rFonts w:cs="宋体"/>
                <w:color w:val="000000"/>
                <w:kern w:val="0"/>
                <w:sz w:val="24"/>
                <w:szCs w:val="24"/>
              </w:rPr>
              <w:t>2026年</w:t>
            </w:r>
            <w:r>
              <w:rPr>
                <w:rFonts w:hint="eastAsia" w:cs="宋体"/>
                <w:color w:val="000000"/>
                <w:kern w:val="0"/>
                <w:sz w:val="24"/>
                <w:szCs w:val="24"/>
              </w:rPr>
              <w:t>1-12月）</w:t>
            </w:r>
            <w:r>
              <w:rPr>
                <w:rFonts w:cs="宋体"/>
                <w:color w:val="000000"/>
                <w:kern w:val="0"/>
                <w:sz w:val="24"/>
                <w:szCs w:val="24"/>
              </w:rPr>
              <w:t>，</w:t>
            </w:r>
            <w:r>
              <w:rPr>
                <w:rFonts w:hint="eastAsia" w:cs="宋体"/>
                <w:color w:val="000000"/>
                <w:kern w:val="0"/>
                <w:sz w:val="24"/>
                <w:szCs w:val="24"/>
              </w:rPr>
              <w:t>计划2027年</w:t>
            </w:r>
            <w:r>
              <w:rPr>
                <w:rFonts w:cs="宋体"/>
                <w:color w:val="000000"/>
                <w:kern w:val="0"/>
                <w:sz w:val="24"/>
                <w:szCs w:val="24"/>
              </w:rPr>
              <w:t>开展相关评估工作；</w:t>
            </w:r>
          </w:p>
        </w:tc>
      </w:tr>
      <w:tr>
        <w:tblPrEx>
          <w:tblCellMar>
            <w:top w:w="0" w:type="dxa"/>
            <w:left w:w="108" w:type="dxa"/>
            <w:bottom w:w="0" w:type="dxa"/>
            <w:right w:w="108" w:type="dxa"/>
          </w:tblCellMar>
        </w:tblPrEx>
        <w:trPr>
          <w:trHeight w:val="624"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项目成长奖</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150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bottom"/>
          </w:tcPr>
          <w:p>
            <w:pPr>
              <w:widowControl/>
              <w:ind w:firstLine="0" w:firstLineChars="0"/>
              <w:jc w:val="left"/>
              <w:rPr>
                <w:rFonts w:cs="宋体"/>
                <w:color w:val="000000"/>
                <w:kern w:val="0"/>
                <w:sz w:val="24"/>
                <w:szCs w:val="24"/>
              </w:rPr>
            </w:pPr>
            <w:r>
              <w:rPr>
                <w:rFonts w:hint="eastAsia" w:cs="宋体"/>
                <w:color w:val="000000"/>
                <w:kern w:val="0"/>
                <w:sz w:val="24"/>
                <w:szCs w:val="24"/>
              </w:rPr>
              <w:t>对项目落地3年内发展进行评估，</w:t>
            </w:r>
            <w:r>
              <w:rPr>
                <w:rFonts w:cs="宋体"/>
                <w:color w:val="000000"/>
                <w:kern w:val="0"/>
                <w:sz w:val="24"/>
                <w:szCs w:val="24"/>
              </w:rPr>
              <w:t>计划202</w:t>
            </w:r>
            <w:r>
              <w:rPr>
                <w:rFonts w:hint="eastAsia" w:cs="宋体"/>
                <w:color w:val="000000"/>
                <w:kern w:val="0"/>
                <w:sz w:val="24"/>
                <w:szCs w:val="24"/>
              </w:rPr>
              <w:t>8</w:t>
            </w:r>
            <w:r>
              <w:rPr>
                <w:rFonts w:cs="宋体"/>
                <w:color w:val="000000"/>
                <w:kern w:val="0"/>
                <w:sz w:val="24"/>
                <w:szCs w:val="24"/>
              </w:rPr>
              <w:t>年</w:t>
            </w:r>
            <w:r>
              <w:rPr>
                <w:rFonts w:hint="eastAsia" w:cs="宋体"/>
                <w:color w:val="000000"/>
                <w:kern w:val="0"/>
                <w:sz w:val="24"/>
                <w:szCs w:val="24"/>
              </w:rPr>
              <w:t>开展评估工作</w:t>
            </w:r>
            <w:r>
              <w:rPr>
                <w:rFonts w:cs="宋体"/>
                <w:color w:val="000000"/>
                <w:kern w:val="0"/>
                <w:sz w:val="24"/>
                <w:szCs w:val="24"/>
              </w:rPr>
              <w:t>；</w:t>
            </w:r>
          </w:p>
        </w:tc>
      </w:tr>
      <w:tr>
        <w:tblPrEx>
          <w:tblCellMar>
            <w:top w:w="0" w:type="dxa"/>
            <w:left w:w="108" w:type="dxa"/>
            <w:bottom w:w="0" w:type="dxa"/>
            <w:right w:w="108" w:type="dxa"/>
          </w:tblCellMar>
        </w:tblPrEx>
        <w:trPr>
          <w:trHeight w:val="312"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小计</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1422.4</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584.846</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41.12%</w:t>
            </w:r>
          </w:p>
        </w:tc>
        <w:tc>
          <w:tcPr>
            <w:tcW w:w="4111" w:type="dxa"/>
            <w:tcBorders>
              <w:top w:val="nil"/>
              <w:left w:val="nil"/>
              <w:bottom w:val="single" w:color="auto" w:sz="4" w:space="0"/>
              <w:right w:val="single" w:color="auto" w:sz="4" w:space="0"/>
            </w:tcBorders>
            <w:vAlign w:val="bottom"/>
          </w:tcPr>
          <w:p>
            <w:pPr>
              <w:widowControl/>
              <w:ind w:firstLine="0" w:firstLineChars="0"/>
              <w:jc w:val="left"/>
              <w:rPr>
                <w:rFonts w:cs="宋体"/>
                <w:color w:val="000000"/>
                <w:kern w:val="0"/>
                <w:sz w:val="24"/>
                <w:szCs w:val="24"/>
              </w:rPr>
            </w:pPr>
            <w:r>
              <w:rPr>
                <w:rFonts w:cs="宋体"/>
                <w:color w:val="000000"/>
                <w:kern w:val="0"/>
                <w:sz w:val="24"/>
                <w:szCs w:val="24"/>
              </w:rPr>
              <w:t>　</w:t>
            </w:r>
          </w:p>
        </w:tc>
      </w:tr>
      <w:tr>
        <w:tblPrEx>
          <w:tblCellMar>
            <w:top w:w="0" w:type="dxa"/>
            <w:left w:w="108" w:type="dxa"/>
            <w:bottom w:w="0" w:type="dxa"/>
            <w:right w:w="108" w:type="dxa"/>
          </w:tblCellMar>
        </w:tblPrEx>
        <w:trPr>
          <w:trHeight w:val="528" w:hRule="atLeast"/>
        </w:trPr>
        <w:tc>
          <w:tcPr>
            <w:tcW w:w="708" w:type="dxa"/>
            <w:vMerge w:val="restart"/>
            <w:tcBorders>
              <w:top w:val="nil"/>
              <w:left w:val="single" w:color="auto" w:sz="4" w:space="0"/>
              <w:bottom w:val="single" w:color="000000" w:sz="4" w:space="0"/>
              <w:right w:val="single" w:color="auto" w:sz="4" w:space="0"/>
            </w:tcBorders>
            <w:vAlign w:val="center"/>
          </w:tcPr>
          <w:p>
            <w:pPr>
              <w:widowControl/>
              <w:ind w:firstLine="0" w:firstLineChars="0"/>
              <w:jc w:val="center"/>
              <w:rPr>
                <w:rFonts w:cs="宋体"/>
                <w:kern w:val="0"/>
                <w:sz w:val="24"/>
                <w:szCs w:val="24"/>
              </w:rPr>
            </w:pPr>
            <w:r>
              <w:rPr>
                <w:rFonts w:cs="宋体"/>
                <w:kern w:val="0"/>
                <w:sz w:val="24"/>
                <w:szCs w:val="24"/>
              </w:rPr>
              <w:t>2025</w:t>
            </w: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整体承办费用</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280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279.9</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99.96%</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2025年列支；</w:t>
            </w:r>
          </w:p>
        </w:tc>
      </w:tr>
      <w:tr>
        <w:tblPrEx>
          <w:tblCellMar>
            <w:top w:w="0" w:type="dxa"/>
            <w:left w:w="108" w:type="dxa"/>
            <w:bottom w:w="0" w:type="dxa"/>
            <w:right w:w="108" w:type="dxa"/>
          </w:tblCellMar>
        </w:tblPrEx>
        <w:trPr>
          <w:trHeight w:val="960"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优秀青年创业奖</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50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2026年列支，奖项数量5个，单个奖励10万元，目前尚未拨付，尚在考察中；</w:t>
            </w:r>
          </w:p>
        </w:tc>
      </w:tr>
      <w:tr>
        <w:tblPrEx>
          <w:tblCellMar>
            <w:top w:w="0" w:type="dxa"/>
            <w:left w:w="108" w:type="dxa"/>
            <w:bottom w:w="0" w:type="dxa"/>
            <w:right w:w="108" w:type="dxa"/>
          </w:tblCellMar>
        </w:tblPrEx>
        <w:trPr>
          <w:trHeight w:val="840"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优秀港澳创业奖</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50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2026年列支，奖项数量5个，单个奖励1</w:t>
            </w:r>
            <w:r>
              <w:rPr>
                <w:rFonts w:hint="eastAsia" w:cs="宋体"/>
                <w:color w:val="000000"/>
                <w:kern w:val="0"/>
                <w:sz w:val="24"/>
                <w:szCs w:val="24"/>
              </w:rPr>
              <w:t>0</w:t>
            </w:r>
            <w:r>
              <w:rPr>
                <w:rFonts w:cs="宋体"/>
                <w:color w:val="000000"/>
                <w:kern w:val="0"/>
                <w:sz w:val="24"/>
                <w:szCs w:val="24"/>
              </w:rPr>
              <w:t>万元，目前尚未拨付，尚在考察中；</w:t>
            </w:r>
          </w:p>
        </w:tc>
      </w:tr>
      <w:tr>
        <w:tblPrEx>
          <w:tblCellMar>
            <w:top w:w="0" w:type="dxa"/>
            <w:left w:w="108" w:type="dxa"/>
            <w:bottom w:w="0" w:type="dxa"/>
            <w:right w:w="108" w:type="dxa"/>
          </w:tblCellMar>
        </w:tblPrEx>
        <w:trPr>
          <w:trHeight w:val="1164"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“80强先锋奖”项目</w:t>
            </w:r>
            <w:r>
              <w:rPr>
                <w:rFonts w:cs="宋体"/>
                <w:color w:val="000000"/>
                <w:kern w:val="0"/>
                <w:sz w:val="24"/>
                <w:szCs w:val="24"/>
              </w:rPr>
              <w:br w:type="textWrapping"/>
            </w:r>
            <w:r>
              <w:rPr>
                <w:rFonts w:cs="宋体"/>
                <w:color w:val="000000"/>
                <w:kern w:val="0"/>
                <w:sz w:val="24"/>
                <w:szCs w:val="24"/>
              </w:rPr>
              <w:t>落地奖励</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800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2026年列支，2026年3月31日前完成落地注册后可获得，单个项目奖励10万元，目前尚未拨付，尚在考察中；</w:t>
            </w:r>
          </w:p>
        </w:tc>
      </w:tr>
      <w:tr>
        <w:tblPrEx>
          <w:tblCellMar>
            <w:top w:w="0" w:type="dxa"/>
            <w:left w:w="108" w:type="dxa"/>
            <w:bottom w:w="0" w:type="dxa"/>
            <w:right w:w="108" w:type="dxa"/>
          </w:tblCellMar>
        </w:tblPrEx>
        <w:trPr>
          <w:trHeight w:val="840"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“80强先锋奖”项目</w:t>
            </w:r>
            <w:r>
              <w:rPr>
                <w:rFonts w:cs="宋体"/>
                <w:color w:val="000000"/>
                <w:kern w:val="0"/>
                <w:sz w:val="24"/>
                <w:szCs w:val="24"/>
              </w:rPr>
              <w:br w:type="textWrapping"/>
            </w:r>
            <w:r>
              <w:rPr>
                <w:rFonts w:cs="宋体"/>
                <w:color w:val="000000"/>
                <w:kern w:val="0"/>
                <w:sz w:val="24"/>
                <w:szCs w:val="24"/>
              </w:rPr>
              <w:t>成长奖励</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400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hint="eastAsia" w:cs="宋体"/>
                <w:color w:val="000000"/>
                <w:kern w:val="0"/>
                <w:sz w:val="24"/>
                <w:szCs w:val="24"/>
              </w:rPr>
              <w:t>2027-2028年列支，</w:t>
            </w:r>
            <w:r>
              <w:rPr>
                <w:rFonts w:cs="宋体"/>
                <w:color w:val="000000"/>
                <w:kern w:val="0"/>
                <w:sz w:val="24"/>
                <w:szCs w:val="24"/>
              </w:rPr>
              <w:t>企业正常经营且在2028年3月31日前获得科技型中小企业认定后可获得。</w:t>
            </w:r>
          </w:p>
        </w:tc>
      </w:tr>
      <w:tr>
        <w:tblPrEx>
          <w:tblCellMar>
            <w:top w:w="0" w:type="dxa"/>
            <w:left w:w="108" w:type="dxa"/>
            <w:bottom w:w="0" w:type="dxa"/>
            <w:right w:w="108" w:type="dxa"/>
          </w:tblCellMar>
        </w:tblPrEx>
        <w:trPr>
          <w:trHeight w:val="1248"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“80强先锋奖”项目</w:t>
            </w:r>
            <w:r>
              <w:rPr>
                <w:rFonts w:cs="宋体"/>
                <w:color w:val="000000"/>
                <w:kern w:val="0"/>
                <w:sz w:val="24"/>
                <w:szCs w:val="24"/>
              </w:rPr>
              <w:br w:type="textWrapping"/>
            </w:r>
            <w:r>
              <w:rPr>
                <w:rFonts w:cs="宋体"/>
                <w:color w:val="000000"/>
                <w:kern w:val="0"/>
                <w:sz w:val="24"/>
                <w:szCs w:val="24"/>
              </w:rPr>
              <w:t>里程碑奖励</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400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0.00%</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2029年，根据3个客观指标（营收、投融资和研发投入）对落户项目落地三年内发展情况进行综合评分，按排名前10%评选（最终数量按四舍五入确定），每个奖励50万元。</w:t>
            </w:r>
          </w:p>
        </w:tc>
      </w:tr>
      <w:tr>
        <w:tblPrEx>
          <w:tblCellMar>
            <w:top w:w="0" w:type="dxa"/>
            <w:left w:w="108" w:type="dxa"/>
            <w:bottom w:w="0" w:type="dxa"/>
            <w:right w:w="108" w:type="dxa"/>
          </w:tblCellMar>
        </w:tblPrEx>
        <w:trPr>
          <w:trHeight w:val="312" w:hRule="atLeast"/>
        </w:trPr>
        <w:tc>
          <w:tcPr>
            <w:tcW w:w="708"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left"/>
              <w:rPr>
                <w:rFonts w:cs="宋体"/>
                <w:kern w:val="0"/>
                <w:sz w:val="24"/>
                <w:szCs w:val="24"/>
              </w:rPr>
            </w:pPr>
          </w:p>
        </w:tc>
        <w:tc>
          <w:tcPr>
            <w:tcW w:w="2081"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小计</w:t>
            </w:r>
          </w:p>
        </w:tc>
        <w:tc>
          <w:tcPr>
            <w:tcW w:w="1180"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1980</w:t>
            </w:r>
          </w:p>
        </w:tc>
        <w:tc>
          <w:tcPr>
            <w:tcW w:w="1134"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279.9</w:t>
            </w:r>
          </w:p>
        </w:tc>
        <w:tc>
          <w:tcPr>
            <w:tcW w:w="1276"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14.</w:t>
            </w:r>
            <w:r>
              <w:rPr>
                <w:rFonts w:hint="eastAsia" w:cs="宋体"/>
                <w:color w:val="000000"/>
                <w:kern w:val="0"/>
                <w:sz w:val="24"/>
                <w:szCs w:val="24"/>
              </w:rPr>
              <w:t>13</w:t>
            </w:r>
            <w:r>
              <w:rPr>
                <w:rFonts w:cs="宋体"/>
                <w:color w:val="000000"/>
                <w:kern w:val="0"/>
                <w:sz w:val="24"/>
                <w:szCs w:val="24"/>
              </w:rPr>
              <w:t>%</w:t>
            </w:r>
          </w:p>
        </w:tc>
        <w:tc>
          <w:tcPr>
            <w:tcW w:w="4111" w:type="dxa"/>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cs="宋体"/>
                <w:color w:val="000000"/>
                <w:kern w:val="0"/>
                <w:sz w:val="24"/>
                <w:szCs w:val="24"/>
              </w:rPr>
              <w:t>　</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2026年，预算单位目前拟申请大赛预算1,896万元。其中，赛事组织预算266万元，赛事奖励预算1,630万元。</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35" w:name="_Toc232169755"/>
      <w:bookmarkStart w:id="36" w:name="_Toc16170"/>
      <w:bookmarkStart w:id="37" w:name="_Toc21488"/>
      <w:r>
        <w:rPr>
          <w:rFonts w:hint="eastAsia"/>
          <w:kern w:val="0"/>
        </w:rPr>
        <w:t>（五）绩效目标设置情况</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根据2023-2025年《项目绩效目标表》，大赛总体绩效目标为通过举办大赛，提升园区服务水平，形成浓厚的创新创业氛围，吸引更多的优秀团队入驻，打造大湾区创新创业标杆园区。设置了参赛项目数量、奖励项目数量、奖补合规率、奖补资金发放及时率、预算执行率、可持续影响及满意度等绩效指标。主要指标如下表所示：</w:t>
      </w:r>
    </w:p>
    <w:p>
      <w:pPr>
        <w:spacing w:line="560" w:lineRule="exact"/>
        <w:ind w:firstLine="0" w:firstLineChars="0"/>
        <w:jc w:val="center"/>
        <w:rPr>
          <w:rFonts w:eastAsia="黑体"/>
          <w:sz w:val="28"/>
        </w:rPr>
      </w:pPr>
      <w:r>
        <w:rPr>
          <w:rFonts w:hint="eastAsia" w:eastAsia="黑体"/>
          <w:sz w:val="28"/>
        </w:rPr>
        <w:t>表1-7 绩效目标设定情况</w:t>
      </w:r>
    </w:p>
    <w:tbl>
      <w:tblPr>
        <w:tblStyle w:val="24"/>
        <w:tblW w:w="9923" w:type="dxa"/>
        <w:jc w:val="center"/>
        <w:tblLayout w:type="autofit"/>
        <w:tblCellMar>
          <w:top w:w="0" w:type="dxa"/>
          <w:left w:w="108" w:type="dxa"/>
          <w:bottom w:w="0" w:type="dxa"/>
          <w:right w:w="108" w:type="dxa"/>
        </w:tblCellMar>
      </w:tblPr>
      <w:tblGrid>
        <w:gridCol w:w="1644"/>
        <w:gridCol w:w="1599"/>
        <w:gridCol w:w="2279"/>
        <w:gridCol w:w="1566"/>
        <w:gridCol w:w="1418"/>
        <w:gridCol w:w="1417"/>
      </w:tblGrid>
      <w:tr>
        <w:tblPrEx>
          <w:tblCellMar>
            <w:top w:w="0" w:type="dxa"/>
            <w:left w:w="108" w:type="dxa"/>
            <w:bottom w:w="0" w:type="dxa"/>
            <w:right w:w="108" w:type="dxa"/>
          </w:tblCellMar>
        </w:tblPrEx>
        <w:trPr>
          <w:trHeight w:val="864" w:hRule="atLeast"/>
          <w:tblHeader/>
          <w:jc w:val="center"/>
        </w:trPr>
        <w:tc>
          <w:tcPr>
            <w:tcW w:w="164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一级指标</w:t>
            </w:r>
          </w:p>
        </w:tc>
        <w:tc>
          <w:tcPr>
            <w:tcW w:w="159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二级指标</w:t>
            </w:r>
          </w:p>
        </w:tc>
        <w:tc>
          <w:tcPr>
            <w:tcW w:w="227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三级指标</w:t>
            </w:r>
          </w:p>
        </w:tc>
        <w:tc>
          <w:tcPr>
            <w:tcW w:w="156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2023年度指标值</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2024年度指标值</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2025年度指标值</w:t>
            </w:r>
          </w:p>
        </w:tc>
      </w:tr>
      <w:tr>
        <w:tblPrEx>
          <w:tblCellMar>
            <w:top w:w="0" w:type="dxa"/>
            <w:left w:w="108" w:type="dxa"/>
            <w:bottom w:w="0" w:type="dxa"/>
            <w:right w:w="108" w:type="dxa"/>
          </w:tblCellMar>
        </w:tblPrEx>
        <w:trPr>
          <w:trHeight w:val="288" w:hRule="atLeast"/>
          <w:tblHeader/>
          <w:jc w:val="center"/>
        </w:trPr>
        <w:tc>
          <w:tcPr>
            <w:tcW w:w="1644"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产出指标</w:t>
            </w: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数量指标</w:t>
            </w:r>
          </w:p>
        </w:tc>
        <w:tc>
          <w:tcPr>
            <w:tcW w:w="227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参赛项目数量</w:t>
            </w:r>
          </w:p>
        </w:tc>
        <w:tc>
          <w:tcPr>
            <w:tcW w:w="156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418" w:type="dxa"/>
            <w:tcBorders>
              <w:top w:val="single" w:color="000000" w:sz="4" w:space="0"/>
              <w:left w:val="single" w:color="000000" w:sz="4" w:space="0"/>
              <w:bottom w:val="single" w:color="000000" w:sz="4" w:space="0"/>
              <w:right w:val="single" w:color="000000" w:sz="4" w:space="0"/>
            </w:tcBorders>
            <w:noWrap/>
            <w:vAlign w:val="bottom"/>
          </w:tcPr>
          <w:p>
            <w:pPr>
              <w:widowControl/>
              <w:ind w:firstLine="0" w:firstLineChars="0"/>
              <w:jc w:val="center"/>
              <w:rPr>
                <w:rFonts w:cs="宋体"/>
                <w:color w:val="000000"/>
                <w:kern w:val="0"/>
                <w:sz w:val="24"/>
                <w:szCs w:val="22"/>
              </w:rPr>
            </w:pPr>
            <w:r>
              <w:rPr>
                <w:rFonts w:hint="eastAsia" w:cs="宋体"/>
                <w:color w:val="000000"/>
                <w:kern w:val="0"/>
                <w:sz w:val="24"/>
                <w:szCs w:val="22"/>
              </w:rPr>
              <w:t>≥400项</w:t>
            </w:r>
          </w:p>
        </w:tc>
        <w:tc>
          <w:tcPr>
            <w:tcW w:w="1417" w:type="dxa"/>
            <w:tcBorders>
              <w:top w:val="single" w:color="000000" w:sz="4" w:space="0"/>
              <w:left w:val="single" w:color="000000" w:sz="4" w:space="0"/>
              <w:bottom w:val="single" w:color="000000" w:sz="4" w:space="0"/>
              <w:right w:val="single" w:color="000000" w:sz="4" w:space="0"/>
            </w:tcBorders>
            <w:noWrap/>
            <w:vAlign w:val="bottom"/>
          </w:tcPr>
          <w:p>
            <w:pPr>
              <w:widowControl/>
              <w:ind w:firstLine="0" w:firstLineChars="0"/>
              <w:jc w:val="center"/>
              <w:rPr>
                <w:rFonts w:cs="宋体"/>
                <w:color w:val="000000"/>
                <w:kern w:val="0"/>
                <w:sz w:val="24"/>
                <w:szCs w:val="22"/>
              </w:rPr>
            </w:pPr>
            <w:r>
              <w:rPr>
                <w:rFonts w:hint="eastAsia" w:cs="宋体"/>
                <w:color w:val="000000"/>
                <w:kern w:val="0"/>
                <w:sz w:val="24"/>
                <w:szCs w:val="22"/>
              </w:rPr>
              <w:t>≥400项</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奖补项目数量</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≥2个</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≥2项</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≥2项</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举办大赛次数</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1次</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1次</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1次</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质量指标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奖补合规率</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时效指标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奖补资金按时发放率</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100%</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成本指标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预算执行率</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≥90%</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≥90%</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≥90%</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效益指标</w:t>
            </w: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经济效益指标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社会效益指标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促进创新创业企业发展</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有效促进</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有效促进</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有效促进</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生态效益指标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可持续影响指标</w:t>
            </w:r>
          </w:p>
        </w:tc>
        <w:tc>
          <w:tcPr>
            <w:tcW w:w="2279"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大赛活动的可持续性</w:t>
            </w:r>
          </w:p>
        </w:tc>
        <w:tc>
          <w:tcPr>
            <w:tcW w:w="15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可持续</w:t>
            </w:r>
          </w:p>
        </w:tc>
        <w:tc>
          <w:tcPr>
            <w:tcW w:w="1418"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可持续</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可持续</w:t>
            </w:r>
          </w:p>
        </w:tc>
      </w:tr>
      <w:tr>
        <w:tblPrEx>
          <w:tblCellMar>
            <w:top w:w="0" w:type="dxa"/>
            <w:left w:w="108" w:type="dxa"/>
            <w:bottom w:w="0" w:type="dxa"/>
            <w:right w:w="108" w:type="dxa"/>
          </w:tblCellMar>
        </w:tblPrEx>
        <w:trPr>
          <w:trHeight w:val="368" w:hRule="atLeast"/>
          <w:tblHeader/>
          <w:jc w:val="center"/>
        </w:trPr>
        <w:tc>
          <w:tcPr>
            <w:tcW w:w="1644"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2279"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566"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r>
      <w:tr>
        <w:tblPrEx>
          <w:tblCellMar>
            <w:top w:w="0" w:type="dxa"/>
            <w:left w:w="108" w:type="dxa"/>
            <w:bottom w:w="0" w:type="dxa"/>
            <w:right w:w="108" w:type="dxa"/>
          </w:tblCellMar>
        </w:tblPrEx>
        <w:trPr>
          <w:trHeight w:val="576" w:hRule="atLeast"/>
          <w:tblHeader/>
          <w:jc w:val="center"/>
        </w:trPr>
        <w:tc>
          <w:tcPr>
            <w:tcW w:w="164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满意度指标</w:t>
            </w:r>
          </w:p>
        </w:tc>
        <w:tc>
          <w:tcPr>
            <w:tcW w:w="159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服务对象 满意度指标</w:t>
            </w:r>
          </w:p>
        </w:tc>
        <w:tc>
          <w:tcPr>
            <w:tcW w:w="227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参与对象的满意度</w:t>
            </w:r>
          </w:p>
        </w:tc>
        <w:tc>
          <w:tcPr>
            <w:tcW w:w="156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≥95%</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≥95%</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≥95%</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pPr>
    </w:p>
    <w:p>
      <w:pPr>
        <w:pStyle w:val="2"/>
        <w:keepNext w:val="0"/>
        <w:keepLines w:val="0"/>
        <w:pageBreakBefore w:val="0"/>
        <w:widowControl w:val="0"/>
        <w:tabs>
          <w:tab w:val="left" w:pos="5048"/>
        </w:tabs>
        <w:kinsoku/>
        <w:wordWrap/>
        <w:overflowPunct/>
        <w:topLinePunct w:val="0"/>
        <w:autoSpaceDE/>
        <w:autoSpaceDN/>
        <w:bidi w:val="0"/>
        <w:adjustRightInd/>
        <w:snapToGrid/>
        <w:spacing w:line="560" w:lineRule="exact"/>
        <w:ind w:firstLine="640"/>
        <w:textAlignment w:val="auto"/>
      </w:pPr>
      <w:bookmarkStart w:id="38" w:name="_Toc19633"/>
      <w:bookmarkStart w:id="39" w:name="_Toc232169756"/>
      <w:bookmarkStart w:id="40" w:name="_Toc26091"/>
      <w:r>
        <w:rPr>
          <w:rFonts w:hint="eastAsia"/>
        </w:rPr>
        <w:t>二、综合评价情况及得分</w:t>
      </w:r>
      <w:bookmarkEnd w:id="38"/>
      <w:bookmarkEnd w:id="39"/>
      <w:bookmarkEnd w:id="40"/>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41" w:name="_Toc7635"/>
      <w:bookmarkStart w:id="42" w:name="_Toc232169757"/>
      <w:bookmarkStart w:id="43" w:name="_Toc13564"/>
      <w:r>
        <w:rPr>
          <w:rFonts w:hint="eastAsia"/>
          <w:kern w:val="0"/>
        </w:rPr>
        <w:t>（一）总体得分</w:t>
      </w:r>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60" w:lineRule="exact"/>
        <w:textAlignment w:val="auto"/>
      </w:pPr>
      <w:r>
        <w:t>为全面评估大赛投入产出成效，中大咨询围绕大赛办赛目的，结合2023-2025年“松湖杯”创新创业大赛《工作方案》《项目绩效目标》《费用预算表》等文件要求，</w:t>
      </w:r>
      <w:bookmarkStart w:id="44" w:name="_Hlk231994535"/>
      <w:r>
        <w:t>从决策、过程管理、产出和效益维度，</w:t>
      </w:r>
      <w:bookmarkEnd w:id="44"/>
      <w:r>
        <w:t>系统梳理并进一步细化</w:t>
      </w:r>
      <w:r>
        <w:rPr>
          <w:rFonts w:hint="eastAsia"/>
        </w:rPr>
        <w:t>补充</w:t>
      </w:r>
      <w:r>
        <w:t>了</w:t>
      </w:r>
      <w:r>
        <w:rPr>
          <w:rFonts w:hint="eastAsia"/>
        </w:rPr>
        <w:t>创赛</w:t>
      </w:r>
      <w:r>
        <w:t>评价指标体系和评估要点。</w:t>
      </w:r>
      <w:bookmarkStart w:id="45" w:name="OLE_LINK32"/>
      <w:r>
        <w:rPr>
          <w:rFonts w:hint="eastAsia"/>
        </w:rPr>
        <w:t>经综合评价，2023-2025年“松湖杯”创新创业大赛绩效评价</w:t>
      </w:r>
      <w:r>
        <w:rPr>
          <w:rFonts w:hint="eastAsia"/>
          <w:b/>
          <w:bCs/>
        </w:rPr>
        <w:t>得分81.74分，评价等级为“良”</w:t>
      </w:r>
      <w:r>
        <w:rPr>
          <w:rFonts w:hint="eastAsia"/>
        </w:rPr>
        <w:t>。</w:t>
      </w:r>
      <w:bookmarkEnd w:id="45"/>
      <w:r>
        <w:rPr>
          <w:rFonts w:hint="eastAsia"/>
        </w:rPr>
        <w:t>评分表详见附件1，各指标得分情况如下表所示：</w:t>
      </w:r>
    </w:p>
    <w:p>
      <w:pPr>
        <w:spacing w:line="560" w:lineRule="exact"/>
        <w:ind w:firstLine="0" w:firstLineChars="0"/>
        <w:jc w:val="center"/>
        <w:rPr>
          <w:rFonts w:eastAsia="黑体"/>
          <w:sz w:val="28"/>
        </w:rPr>
      </w:pPr>
      <w:r>
        <w:rPr>
          <w:rFonts w:hint="eastAsia" w:eastAsia="黑体"/>
          <w:sz w:val="28"/>
        </w:rPr>
        <w:t>表2-1 绩效评价得分表</w:t>
      </w:r>
    </w:p>
    <w:tbl>
      <w:tblPr>
        <w:tblStyle w:val="24"/>
        <w:tblW w:w="5808" w:type="pct"/>
        <w:jc w:val="center"/>
        <w:tblLayout w:type="autofit"/>
        <w:tblCellMar>
          <w:top w:w="0" w:type="dxa"/>
          <w:left w:w="108" w:type="dxa"/>
          <w:bottom w:w="0" w:type="dxa"/>
          <w:right w:w="108" w:type="dxa"/>
        </w:tblCellMar>
      </w:tblPr>
      <w:tblGrid>
        <w:gridCol w:w="881"/>
        <w:gridCol w:w="1534"/>
        <w:gridCol w:w="2328"/>
        <w:gridCol w:w="2372"/>
        <w:gridCol w:w="828"/>
        <w:gridCol w:w="932"/>
        <w:gridCol w:w="1024"/>
      </w:tblGrid>
      <w:tr>
        <w:tblPrEx>
          <w:tblCellMar>
            <w:top w:w="0" w:type="dxa"/>
            <w:left w:w="108" w:type="dxa"/>
            <w:bottom w:w="0" w:type="dxa"/>
            <w:right w:w="108" w:type="dxa"/>
          </w:tblCellMar>
        </w:tblPrEx>
        <w:trPr>
          <w:trHeight w:val="576" w:hRule="atLeast"/>
          <w:tblHeader/>
          <w:jc w:val="center"/>
        </w:trPr>
        <w:tc>
          <w:tcPr>
            <w:tcW w:w="445"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一级指标</w:t>
            </w:r>
          </w:p>
        </w:tc>
        <w:tc>
          <w:tcPr>
            <w:tcW w:w="775"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二级指标</w:t>
            </w: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三级指标</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四级指标</w:t>
            </w:r>
          </w:p>
        </w:tc>
        <w:tc>
          <w:tcPr>
            <w:tcW w:w="41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指标分值</w:t>
            </w:r>
          </w:p>
        </w:tc>
        <w:tc>
          <w:tcPr>
            <w:tcW w:w="471"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指标得分</w:t>
            </w:r>
          </w:p>
        </w:tc>
        <w:tc>
          <w:tcPr>
            <w:tcW w:w="51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b/>
                <w:bCs/>
                <w:color w:val="000000"/>
                <w:kern w:val="0"/>
                <w:sz w:val="24"/>
                <w:szCs w:val="22"/>
              </w:rPr>
            </w:pPr>
            <w:r>
              <w:rPr>
                <w:rFonts w:hint="eastAsia" w:cs="宋体"/>
                <w:b/>
                <w:bCs/>
                <w:color w:val="000000"/>
                <w:kern w:val="0"/>
                <w:sz w:val="24"/>
                <w:szCs w:val="22"/>
              </w:rPr>
              <w:t>得分率</w:t>
            </w:r>
          </w:p>
        </w:tc>
      </w:tr>
      <w:tr>
        <w:tblPrEx>
          <w:tblCellMar>
            <w:top w:w="0" w:type="dxa"/>
            <w:left w:w="108" w:type="dxa"/>
            <w:bottom w:w="0" w:type="dxa"/>
            <w:right w:w="108" w:type="dxa"/>
          </w:tblCellMar>
        </w:tblPrEx>
        <w:trPr>
          <w:trHeight w:val="576" w:hRule="atLeast"/>
          <w:jc w:val="center"/>
        </w:trPr>
        <w:tc>
          <w:tcPr>
            <w:tcW w:w="445"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决策</w:t>
            </w:r>
          </w:p>
          <w:p>
            <w:pPr>
              <w:widowControl/>
              <w:ind w:firstLine="0" w:firstLineChars="0"/>
              <w:jc w:val="center"/>
              <w:rPr>
                <w:rFonts w:cs="宋体"/>
                <w:color w:val="000000"/>
                <w:kern w:val="0"/>
                <w:sz w:val="24"/>
                <w:szCs w:val="22"/>
              </w:rPr>
            </w:pPr>
            <w:r>
              <w:rPr>
                <w:rFonts w:hint="eastAsia" w:cs="宋体"/>
                <w:color w:val="000000"/>
                <w:kern w:val="0"/>
                <w:sz w:val="24"/>
                <w:szCs w:val="22"/>
              </w:rPr>
              <w:t>（16分）</w:t>
            </w:r>
          </w:p>
        </w:tc>
        <w:tc>
          <w:tcPr>
            <w:tcW w:w="775"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项目申报立项</w:t>
            </w: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项目论证（申报）规范性</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项目论证规范性</w:t>
            </w:r>
          </w:p>
        </w:tc>
        <w:tc>
          <w:tcPr>
            <w:tcW w:w="4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16</w:t>
            </w:r>
          </w:p>
        </w:tc>
        <w:tc>
          <w:tcPr>
            <w:tcW w:w="471"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11</w:t>
            </w:r>
          </w:p>
        </w:tc>
        <w:tc>
          <w:tcPr>
            <w:tcW w:w="5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69%</w:t>
            </w: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775"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绩效目标</w:t>
            </w:r>
          </w:p>
        </w:tc>
        <w:tc>
          <w:tcPr>
            <w:tcW w:w="1176"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目标设置</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绩效目标合理性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绩效指标明确性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775"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预算编制</w:t>
            </w: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预算编制科学性</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预算编制科学性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管理</w:t>
            </w:r>
          </w:p>
          <w:p>
            <w:pPr>
              <w:widowControl/>
              <w:ind w:firstLine="0" w:firstLineChars="0"/>
              <w:jc w:val="center"/>
              <w:rPr>
                <w:rFonts w:cs="宋体"/>
                <w:color w:val="000000"/>
                <w:kern w:val="0"/>
                <w:sz w:val="24"/>
                <w:szCs w:val="22"/>
              </w:rPr>
            </w:pPr>
            <w:r>
              <w:rPr>
                <w:rFonts w:hint="eastAsia" w:cs="宋体"/>
                <w:color w:val="000000"/>
                <w:kern w:val="0"/>
                <w:sz w:val="24"/>
                <w:szCs w:val="22"/>
              </w:rPr>
              <w:t>（24分）</w:t>
            </w:r>
          </w:p>
        </w:tc>
        <w:tc>
          <w:tcPr>
            <w:tcW w:w="775"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资金管理</w:t>
            </w:r>
          </w:p>
        </w:tc>
        <w:tc>
          <w:tcPr>
            <w:tcW w:w="1176"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资金使用管理</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资金到位率与及时性</w:t>
            </w:r>
          </w:p>
        </w:tc>
        <w:tc>
          <w:tcPr>
            <w:tcW w:w="4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24</w:t>
            </w:r>
          </w:p>
        </w:tc>
        <w:tc>
          <w:tcPr>
            <w:tcW w:w="471"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15</w:t>
            </w:r>
          </w:p>
        </w:tc>
        <w:tc>
          <w:tcPr>
            <w:tcW w:w="5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63%</w:t>
            </w: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资金分配合理性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资金支出率</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资金支出规范性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391"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775"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事项管理</w:t>
            </w: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实施程序</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程序规范性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管理情况</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项目质量控制有效性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产出和效益</w:t>
            </w:r>
          </w:p>
          <w:p>
            <w:pPr>
              <w:widowControl/>
              <w:ind w:firstLine="0" w:firstLineChars="0"/>
              <w:jc w:val="center"/>
              <w:rPr>
                <w:rFonts w:cs="宋体"/>
                <w:color w:val="000000"/>
                <w:kern w:val="0"/>
                <w:sz w:val="24"/>
                <w:szCs w:val="22"/>
              </w:rPr>
            </w:pPr>
            <w:r>
              <w:rPr>
                <w:rFonts w:hint="eastAsia" w:cs="宋体"/>
                <w:color w:val="000000"/>
                <w:kern w:val="0"/>
                <w:sz w:val="24"/>
                <w:szCs w:val="22"/>
              </w:rPr>
              <w:t>（60分）</w:t>
            </w:r>
          </w:p>
        </w:tc>
        <w:tc>
          <w:tcPr>
            <w:tcW w:w="775"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产出</w:t>
            </w:r>
          </w:p>
        </w:tc>
        <w:tc>
          <w:tcPr>
            <w:tcW w:w="1176"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数量指标</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组织宣传工作任务完成率</w:t>
            </w:r>
          </w:p>
        </w:tc>
        <w:tc>
          <w:tcPr>
            <w:tcW w:w="418"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21</w:t>
            </w:r>
          </w:p>
        </w:tc>
        <w:tc>
          <w:tcPr>
            <w:tcW w:w="471"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19.96</w:t>
            </w:r>
          </w:p>
        </w:tc>
        <w:tc>
          <w:tcPr>
            <w:tcW w:w="518"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95.05%</w:t>
            </w: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参赛项目数量</w:t>
            </w:r>
          </w:p>
        </w:tc>
        <w:tc>
          <w:tcPr>
            <w:tcW w:w="4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奖励项目数量</w:t>
            </w:r>
          </w:p>
        </w:tc>
        <w:tc>
          <w:tcPr>
            <w:tcW w:w="4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restart"/>
            <w:tcBorders>
              <w:top w:val="single" w:color="000000" w:sz="4" w:space="0"/>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质量指标</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参赛企业落地转化率</w:t>
            </w:r>
          </w:p>
        </w:tc>
        <w:tc>
          <w:tcPr>
            <w:tcW w:w="4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获奖项目落地转化率</w:t>
            </w:r>
          </w:p>
        </w:tc>
        <w:tc>
          <w:tcPr>
            <w:tcW w:w="4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引进企业留存率</w:t>
            </w:r>
          </w:p>
        </w:tc>
        <w:tc>
          <w:tcPr>
            <w:tcW w:w="418"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center"/>
              <w:rPr>
                <w:rFonts w:cs="宋体"/>
                <w:color w:val="000000"/>
                <w:kern w:val="0"/>
                <w:sz w:val="24"/>
                <w:szCs w:val="22"/>
              </w:rPr>
            </w:pPr>
          </w:p>
        </w:tc>
        <w:tc>
          <w:tcPr>
            <w:tcW w:w="775"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效益</w:t>
            </w:r>
          </w:p>
        </w:tc>
        <w:tc>
          <w:tcPr>
            <w:tcW w:w="1176"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经济效益</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落地企业上市/后备上市数量</w:t>
            </w:r>
          </w:p>
        </w:tc>
        <w:tc>
          <w:tcPr>
            <w:tcW w:w="4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39</w:t>
            </w:r>
          </w:p>
        </w:tc>
        <w:tc>
          <w:tcPr>
            <w:tcW w:w="471"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35.79</w:t>
            </w:r>
          </w:p>
        </w:tc>
        <w:tc>
          <w:tcPr>
            <w:tcW w:w="518"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94%</w:t>
            </w: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落地企业获高新技术企业认定数量</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落地企业获专精特新企业认定数量</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落地企业获科技型中小企业认定数量</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企业营业收入与税收贡献</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社会效益</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就业带动情况</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可持续性</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后续政策扶持度</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创赛活动的可持续性</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影响力</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445"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775"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1176"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满意度</w:t>
            </w:r>
          </w:p>
        </w:tc>
        <w:tc>
          <w:tcPr>
            <w:tcW w:w="119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落地企业/团队满意度</w:t>
            </w:r>
          </w:p>
        </w:tc>
        <w:tc>
          <w:tcPr>
            <w:tcW w:w="4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c>
          <w:tcPr>
            <w:tcW w:w="518" w:type="pct"/>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rPr>
                <w:rFonts w:cs="宋体"/>
                <w:color w:val="000000"/>
                <w:kern w:val="0"/>
                <w:sz w:val="24"/>
                <w:szCs w:val="22"/>
              </w:rPr>
            </w:pPr>
          </w:p>
        </w:tc>
      </w:tr>
      <w:tr>
        <w:tblPrEx>
          <w:tblCellMar>
            <w:top w:w="0" w:type="dxa"/>
            <w:left w:w="108" w:type="dxa"/>
            <w:bottom w:w="0" w:type="dxa"/>
            <w:right w:w="108" w:type="dxa"/>
          </w:tblCellMar>
        </w:tblPrEx>
        <w:trPr>
          <w:trHeight w:val="288" w:hRule="atLeast"/>
          <w:jc w:val="center"/>
        </w:trPr>
        <w:tc>
          <w:tcPr>
            <w:tcW w:w="3593" w:type="pct"/>
            <w:gridSpan w:val="4"/>
            <w:tcBorders>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color w:val="000000"/>
                <w:kern w:val="0"/>
                <w:sz w:val="24"/>
                <w:szCs w:val="22"/>
              </w:rPr>
              <w:t>小计</w:t>
            </w:r>
          </w:p>
        </w:tc>
        <w:tc>
          <w:tcPr>
            <w:tcW w:w="41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b/>
                <w:bCs/>
                <w:color w:val="000000"/>
                <w:kern w:val="0"/>
                <w:sz w:val="24"/>
                <w:szCs w:val="22"/>
              </w:rPr>
              <w:t>100</w:t>
            </w:r>
          </w:p>
        </w:tc>
        <w:tc>
          <w:tcPr>
            <w:tcW w:w="471"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b/>
                <w:bCs/>
                <w:color w:val="000000"/>
                <w:kern w:val="0"/>
                <w:sz w:val="24"/>
                <w:szCs w:val="22"/>
              </w:rPr>
              <w:t>81.74</w:t>
            </w:r>
          </w:p>
        </w:tc>
        <w:tc>
          <w:tcPr>
            <w:tcW w:w="518" w:type="pc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cs="宋体"/>
                <w:color w:val="000000"/>
                <w:kern w:val="0"/>
                <w:sz w:val="24"/>
                <w:szCs w:val="22"/>
              </w:rPr>
            </w:pPr>
            <w:r>
              <w:rPr>
                <w:rFonts w:hint="eastAsia" w:cs="宋体"/>
                <w:b/>
                <w:bCs/>
                <w:color w:val="000000"/>
                <w:kern w:val="0"/>
                <w:sz w:val="24"/>
                <w:szCs w:val="22"/>
              </w:rPr>
              <w:t>81.74%</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kern w:val="0"/>
        </w:rPr>
      </w:pPr>
      <w:bookmarkStart w:id="46" w:name="_Toc232169758"/>
      <w:bookmarkStart w:id="47" w:name="_Toc24633"/>
      <w:bookmarkStart w:id="48" w:name="_Toc26864"/>
      <w:r>
        <w:rPr>
          <w:rFonts w:hint="eastAsia"/>
          <w:kern w:val="0"/>
        </w:rPr>
        <w:t>（二）综合评价结论</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总体而言，创赛按照2023-2025年创赛《工作方案》、赛事请示批复文件、费用预算、各部门回复意见等组织各年度重点工作。从创赛成效看，取得了一定成绩，同时也存在一些不足。具体表现在：</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一是取得成绩。1. 产业效益方面，项目持续补链强链，产值跨越式增长。</w:t>
      </w:r>
      <w:r>
        <w:rPr>
          <w:rFonts w:hint="eastAsia"/>
        </w:rPr>
        <w:t>产业分布高度聚焦主导赛道，与园区 “1+4+1+X” 主导产业定位高度契合，形成了清晰的产业集群格局。机器人产业为绝对支柱（</w:t>
      </w:r>
      <w:r>
        <w:t>33.70%</w:t>
      </w:r>
      <w:r>
        <w:rPr>
          <w:rFonts w:hint="eastAsia"/>
        </w:rPr>
        <w:t>），新材料与新能源（</w:t>
      </w:r>
      <w:r>
        <w:t>18.54</w:t>
      </w:r>
      <w:r>
        <w:rPr>
          <w:rFonts w:hint="eastAsia"/>
        </w:rPr>
        <w:t>%）、新一代信息技术与智能网联汽车（</w:t>
      </w:r>
      <w:r>
        <w:t>16.29</w:t>
      </w:r>
      <w:r>
        <w:rPr>
          <w:rFonts w:hint="eastAsia"/>
        </w:rPr>
        <w:t>%）、生物医药与健康（</w:t>
      </w:r>
      <w:r>
        <w:t>16.29</w:t>
      </w:r>
      <w:r>
        <w:rPr>
          <w:rFonts w:hint="eastAsia"/>
        </w:rPr>
        <w:t>%）为第二梯队，合计占比超 50%。</w:t>
      </w:r>
      <w:r>
        <w:rPr>
          <w:rFonts w:hint="eastAsia"/>
          <w:b/>
          <w:bCs/>
        </w:rPr>
        <w:t>2. 经济效益方面，财政税收效益可观，形成稳定税源。</w:t>
      </w:r>
      <w:r>
        <w:rPr>
          <w:rFonts w:hint="eastAsia"/>
        </w:rPr>
        <w:t>2015-2025年累计直接拨付企业共计3885万元（不包含2023年-2025年举行的比赛尚未兑付的奖励资金，按100%兑付，预计仍需要再支出奖金合计2950万元），存续项目累计创税规模为</w:t>
      </w:r>
      <w:r>
        <w:t>56413.56</w:t>
      </w:r>
      <w:r>
        <w:rPr>
          <w:rFonts w:hint="eastAsia"/>
        </w:rPr>
        <w:t>万元，累计财政投入7671.23万元（含赛事组织费/赛事奖励全口径），累计税收/累计财政投入比为</w:t>
      </w:r>
      <w:r>
        <w:t>7.35</w:t>
      </w:r>
      <w:r>
        <w:rPr>
          <w:rFonts w:hint="eastAsia"/>
        </w:rPr>
        <w:t>；剔除赛事组织费后，按直接奖励到企业的支出统计，累计税收/累计赛事奖励投入比为</w:t>
      </w:r>
      <w:r>
        <w:t>14.52</w:t>
      </w:r>
      <w:r>
        <w:rPr>
          <w:rFonts w:hint="eastAsia"/>
        </w:rPr>
        <w:t>。</w:t>
      </w:r>
      <w:r>
        <w:rPr>
          <w:rFonts w:hint="eastAsia"/>
          <w:b/>
          <w:bCs/>
        </w:rPr>
        <w:t>3.社会效益方面，就业带动成效显著，科创人才集聚优势明显。</w:t>
      </w:r>
      <w:r>
        <w:rPr>
          <w:rFonts w:hint="eastAsia"/>
        </w:rPr>
        <w:t>到2025年，引进企业新增就业岗位2937人，其中科技人员占比29.96%。整体就业结构呈现明显的 “科创导向”，说明创赛引入项目不仅能创造岗位，更能带动高技能、高学历人才集聚，助力园区人才结构升级。</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二是存在不足。</w:t>
      </w:r>
      <w:r>
        <w:t>1.</w:t>
      </w:r>
      <w:r>
        <w:rPr>
          <w:rFonts w:hint="eastAsia"/>
        </w:rPr>
        <w:t>预算管理机制有待完善、预算规模有待压减、财政奖补资金闲置、奖励兑现时效性有待提升。一是赛事自</w:t>
      </w:r>
      <w:r>
        <w:t xml:space="preserve"> 2015 </w:t>
      </w:r>
      <w:r>
        <w:rPr>
          <w:rFonts w:hint="eastAsia"/>
        </w:rPr>
        <w:t>年已运行十年，流程、资源、经验等均已成熟完善，无需按全新赛事标准全额列支，但历年预算未结合既有工作基础优化压缩。二是企业落地奖励经费按获奖项目数全额编制预算，实际上获奖项目并未全部落地，预算安排出现较大冗余。三是个别奖项的兑付和执行速度偏慢，不利于支持引入项目的发展。</w:t>
      </w:r>
      <w:r>
        <w:t>2.</w:t>
      </w:r>
      <w:r>
        <w:rPr>
          <w:rFonts w:hint="eastAsia"/>
        </w:rPr>
        <w:t>部分项目未有效转化，项目补贴方式、培育政策体系有待完善。一方面，创赛举办以来，存在部分项目未成功或流失，部分外部引进项目因缺乏本地基础导致经营不善，部分项目成长壮大后因园区生产成本优势不明显或获得其他投资后迁出园区。另一方面，引入项目的培育支撑体系、补贴方式仍有完善空间。引进项目扶持侧重资金奖励和租金补贴，相较于广深，扶持手段比较单一，项目基金投资较少，补改投方式应用不足；缺乏中试验证场地和场景应用支持；培育支撑体系有待完善。</w:t>
      </w:r>
      <w:r>
        <w:t>3.</w:t>
      </w:r>
      <w:r>
        <w:rPr>
          <w:rFonts w:hint="eastAsia"/>
        </w:rPr>
        <w:t>大赛品牌的宣传思路有待进一步厘清，个别赛道的设立有待商榷。</w:t>
      </w:r>
    </w:p>
    <w:p>
      <w:pPr>
        <w:pStyle w:val="2"/>
        <w:keepNext w:val="0"/>
        <w:keepLines w:val="0"/>
        <w:pageBreakBefore w:val="0"/>
        <w:widowControl w:val="0"/>
        <w:tabs>
          <w:tab w:val="left" w:pos="5048"/>
        </w:tabs>
        <w:kinsoku/>
        <w:wordWrap/>
        <w:overflowPunct/>
        <w:topLinePunct w:val="0"/>
        <w:autoSpaceDE/>
        <w:autoSpaceDN/>
        <w:bidi w:val="0"/>
        <w:adjustRightInd/>
        <w:snapToGrid/>
        <w:spacing w:line="560" w:lineRule="exact"/>
        <w:ind w:firstLine="640"/>
        <w:textAlignment w:val="auto"/>
      </w:pPr>
      <w:bookmarkStart w:id="49" w:name="_Toc11751"/>
      <w:bookmarkStart w:id="50" w:name="_Toc232169759"/>
      <w:bookmarkStart w:id="51" w:name="_Toc14849"/>
      <w:r>
        <w:rPr>
          <w:rFonts w:hint="eastAsia"/>
        </w:rPr>
        <w:t>三、主要成效</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textAlignment w:val="auto"/>
      </w:pPr>
      <w:r>
        <w:t>本次大赛引育成效显著，产业、财政、社会效益突出。产业上，项目高度契合园区 “1+4+1+X” 体系，以机器人产业为核心，十年产值增长超</w:t>
      </w:r>
      <w:r>
        <w:rPr>
          <w:rFonts w:hint="eastAsia"/>
        </w:rPr>
        <w:t>280</w:t>
      </w:r>
      <w:r>
        <w:t>倍，培育出一批规上、高新及后备上市企业。</w:t>
      </w:r>
      <w:r>
        <w:rPr>
          <w:rFonts w:hint="eastAsia"/>
        </w:rPr>
        <w:t>经济效益方面</w:t>
      </w:r>
      <w:r>
        <w:t>，</w:t>
      </w:r>
      <w:r>
        <w:rPr>
          <w:rFonts w:hint="eastAsia"/>
        </w:rPr>
        <w:t>累计税收</w:t>
      </w:r>
      <w:r>
        <w:t>/</w:t>
      </w:r>
      <w:r>
        <w:rPr>
          <w:rFonts w:hint="eastAsia"/>
        </w:rPr>
        <w:t>累计财政投入比达7.35，累计税收</w:t>
      </w:r>
      <w:r>
        <w:t>/</w:t>
      </w:r>
      <w:r>
        <w:rPr>
          <w:rFonts w:hint="eastAsia"/>
        </w:rPr>
        <w:t>累计赛事奖励投入比为14.52；</w:t>
      </w:r>
      <w:r>
        <w:t>半导体、机器人等硬科技赛道税收撬动能力极强，形成稳定税源。社会效益方面，累计新增就业近 29</w:t>
      </w:r>
      <w:r>
        <w:rPr>
          <w:rFonts w:hint="eastAsia"/>
        </w:rPr>
        <w:t>37</w:t>
      </w:r>
      <w:r>
        <w:t xml:space="preserve"> 个，科技人才占比近三成，有效带动高端人才集聚，持续赋能园区产业高质量发展。</w:t>
      </w:r>
      <w:r>
        <w:rPr>
          <w:rFonts w:hint="eastAsia"/>
        </w:rPr>
        <w:t>具体如下：</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52" w:name="_Toc19613"/>
      <w:bookmarkStart w:id="53" w:name="_Toc9671"/>
      <w:bookmarkStart w:id="54" w:name="_Toc232169760"/>
      <w:r>
        <w:rPr>
          <w:rFonts w:hint="eastAsia"/>
          <w:b w:val="0"/>
          <w:bCs w:val="0"/>
          <w:kern w:val="0"/>
        </w:rPr>
        <w:t>（一）产业效益：项目持续补链强链，产值跨越式增长</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基于近10年引入项目的综合分析，创赛项目已成为松山湖核心产业集群培育、创新能力提升、产业链完善的核心抓手和重要的增量项目引入来源，带动作用体现如下：</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pPr>
      <w:r>
        <w:rPr>
          <w:rFonts w:hint="eastAsia"/>
        </w:rPr>
        <w:t>一是项目引入方向上始终契合松山湖锚定的产业方向。依据《松山湖高新区2025年工作计划》等重要文件，松山湖正全力构建“1+4+1+X”产业体系，“1”是新一代信息技术与智能网联汽车，“4”是机器人与智能装备制造、半导体与集成电路、生物医药与健康、新材料与新能源四大战略性新兴产业，第二个“1”是生产性服务业，“X”是未来产业。经梳理近10年大赛引入并存续的项目，存量项目共计178个，完全契合上述产业体系，产业分布高度聚焦主导赛道，机器人产业为绝对支柱。</w:t>
      </w:r>
      <w:bookmarkStart w:id="55" w:name="_Hlk231995265"/>
      <w:r>
        <w:rPr>
          <w:rFonts w:hint="eastAsia"/>
        </w:rPr>
        <w:t>机器人与智能装备制造</w:t>
      </w:r>
      <w:bookmarkEnd w:id="55"/>
      <w:r>
        <w:rPr>
          <w:rFonts w:hint="eastAsia"/>
        </w:rPr>
        <w:t>留存项目达 60 个，占比超三成</w:t>
      </w:r>
      <w:bookmarkStart w:id="56" w:name="_Hlk231994800"/>
      <w:r>
        <w:rPr>
          <w:rFonts w:hint="eastAsia"/>
        </w:rPr>
        <w:t>（</w:t>
      </w:r>
      <w:r>
        <w:t>33.70%</w:t>
      </w:r>
      <w:r>
        <w:rPr>
          <w:rFonts w:hint="eastAsia"/>
        </w:rPr>
        <w:t>）</w:t>
      </w:r>
      <w:bookmarkEnd w:id="56"/>
      <w:r>
        <w:rPr>
          <w:rFonts w:hint="eastAsia"/>
        </w:rPr>
        <w:t>，是园区最核心的产业赛道，充分体现了松山湖作为机器人产业高地的集聚效应，与园区内的龙头企业的成长轨迹形成呼应。</w:t>
      </w:r>
      <w:bookmarkStart w:id="57" w:name="_Hlk231994820"/>
      <w:r>
        <w:rPr>
          <w:rFonts w:hint="eastAsia"/>
        </w:rPr>
        <w:t>新材料与新能源（</w:t>
      </w:r>
      <w:r>
        <w:t>18.54%</w:t>
      </w:r>
      <w:r>
        <w:rPr>
          <w:rFonts w:hint="eastAsia"/>
        </w:rPr>
        <w:t>）、新一代信息技术与智能网联汽车（</w:t>
      </w:r>
      <w:r>
        <w:t>16.29%</w:t>
      </w:r>
      <w:r>
        <w:rPr>
          <w:rFonts w:hint="eastAsia"/>
        </w:rPr>
        <w:t>）、生物医药与健康（</w:t>
      </w:r>
      <w:r>
        <w:t>16.29%</w:t>
      </w:r>
      <w:r>
        <w:rPr>
          <w:rFonts w:hint="eastAsia"/>
        </w:rPr>
        <w:t>）</w:t>
      </w:r>
      <w:bookmarkEnd w:id="57"/>
      <w:r>
        <w:rPr>
          <w:rFonts w:hint="eastAsia"/>
        </w:rPr>
        <w:t>为第二梯队，合计占比超 50%，</w:t>
      </w:r>
      <w:bookmarkStart w:id="58" w:name="_Hlk231995195"/>
      <w:r>
        <w:rPr>
          <w:rFonts w:hint="eastAsia"/>
        </w:rPr>
        <w:t>与园区 “1+4+1+X” 主导产业定位高度契合</w:t>
      </w:r>
      <w:bookmarkEnd w:id="58"/>
      <w:r>
        <w:rPr>
          <w:rFonts w:hint="eastAsia"/>
        </w:rPr>
        <w:t>，形成了清晰的产业集群格局。</w:t>
      </w:r>
    </w:p>
    <w:p>
      <w:pPr>
        <w:ind w:firstLine="560"/>
        <w:jc w:val="center"/>
        <w:rPr>
          <w:rFonts w:eastAsia="黑体"/>
          <w:sz w:val="28"/>
          <w:szCs w:val="28"/>
        </w:rPr>
      </w:pPr>
      <w:r>
        <w:rPr>
          <w:rFonts w:hint="eastAsia" w:eastAsia="黑体"/>
          <w:sz w:val="28"/>
          <w:szCs w:val="28"/>
        </w:rPr>
        <w:t>表3-1 近10年引入项目产业覆盖基本情况</w:t>
      </w:r>
    </w:p>
    <w:tbl>
      <w:tblPr>
        <w:tblStyle w:val="24"/>
        <w:tblW w:w="10505" w:type="dxa"/>
        <w:jc w:val="center"/>
        <w:tblLayout w:type="autofit"/>
        <w:tblCellMar>
          <w:top w:w="0" w:type="dxa"/>
          <w:left w:w="108" w:type="dxa"/>
          <w:bottom w:w="0" w:type="dxa"/>
          <w:right w:w="108" w:type="dxa"/>
        </w:tblCellMar>
      </w:tblPr>
      <w:tblGrid>
        <w:gridCol w:w="905"/>
        <w:gridCol w:w="1655"/>
        <w:gridCol w:w="3645"/>
        <w:gridCol w:w="2460"/>
        <w:gridCol w:w="1840"/>
      </w:tblGrid>
      <w:tr>
        <w:tblPrEx>
          <w:tblCellMar>
            <w:top w:w="0" w:type="dxa"/>
            <w:left w:w="108" w:type="dxa"/>
            <w:bottom w:w="0" w:type="dxa"/>
            <w:right w:w="108" w:type="dxa"/>
          </w:tblCellMar>
        </w:tblPrEx>
        <w:trPr>
          <w:trHeight w:val="624" w:hRule="atLeast"/>
          <w:tblHeade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序号</w:t>
            </w:r>
          </w:p>
        </w:tc>
        <w:tc>
          <w:tcPr>
            <w:tcW w:w="1655"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产业体系（1+4+1+X）</w:t>
            </w:r>
          </w:p>
        </w:tc>
        <w:tc>
          <w:tcPr>
            <w:tcW w:w="3645"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具体产业</w:t>
            </w:r>
          </w:p>
        </w:tc>
        <w:tc>
          <w:tcPr>
            <w:tcW w:w="246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留存项目数量</w:t>
            </w:r>
          </w:p>
        </w:tc>
        <w:tc>
          <w:tcPr>
            <w:tcW w:w="184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占比</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w:t>
            </w:r>
          </w:p>
        </w:tc>
        <w:tc>
          <w:tcPr>
            <w:tcW w:w="1655" w:type="dxa"/>
            <w:tcBorders>
              <w:top w:val="nil"/>
              <w:left w:val="nil"/>
              <w:bottom w:val="single" w:color="auto" w:sz="4" w:space="0"/>
              <w:right w:val="single" w:color="auto" w:sz="4" w:space="0"/>
            </w:tcBorders>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w:t>
            </w: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新一代信息技术与智能网联汽车</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29</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16.29%</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2</w:t>
            </w:r>
          </w:p>
        </w:tc>
        <w:tc>
          <w:tcPr>
            <w:tcW w:w="1655" w:type="dxa"/>
            <w:vMerge w:val="restart"/>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4</w:t>
            </w: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机器人与智能装备制造</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60</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33.71%</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3</w:t>
            </w:r>
          </w:p>
        </w:tc>
        <w:tc>
          <w:tcPr>
            <w:tcW w:w="1655"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eastAsia="宋体"/>
                <w:color w:val="000000"/>
                <w:kern w:val="0"/>
                <w:sz w:val="24"/>
                <w:szCs w:val="24"/>
              </w:rPr>
            </w:pP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半导体与集成电路</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13</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7.30%</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4</w:t>
            </w:r>
          </w:p>
        </w:tc>
        <w:tc>
          <w:tcPr>
            <w:tcW w:w="1655"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eastAsia="宋体"/>
                <w:color w:val="000000"/>
                <w:kern w:val="0"/>
                <w:sz w:val="24"/>
                <w:szCs w:val="24"/>
              </w:rPr>
            </w:pP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生物医药与健康</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29</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16.29%</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5</w:t>
            </w:r>
          </w:p>
        </w:tc>
        <w:tc>
          <w:tcPr>
            <w:tcW w:w="1655"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eastAsia="宋体"/>
                <w:color w:val="000000"/>
                <w:kern w:val="0"/>
                <w:sz w:val="24"/>
                <w:szCs w:val="24"/>
              </w:rPr>
            </w:pP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新材料与新能源</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33</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18.54%</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6</w:t>
            </w:r>
          </w:p>
        </w:tc>
        <w:tc>
          <w:tcPr>
            <w:tcW w:w="1655" w:type="dxa"/>
            <w:tcBorders>
              <w:top w:val="nil"/>
              <w:left w:val="nil"/>
              <w:bottom w:val="single" w:color="auto" w:sz="4" w:space="0"/>
              <w:right w:val="single" w:color="auto" w:sz="4" w:space="0"/>
            </w:tcBorders>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w:t>
            </w: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生产性服务业</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12</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6.74%</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7</w:t>
            </w:r>
          </w:p>
        </w:tc>
        <w:tc>
          <w:tcPr>
            <w:tcW w:w="1655" w:type="dxa"/>
            <w:tcBorders>
              <w:top w:val="nil"/>
              <w:left w:val="nil"/>
              <w:bottom w:val="single" w:color="auto" w:sz="4" w:space="0"/>
              <w:right w:val="single" w:color="auto" w:sz="4" w:space="0"/>
            </w:tcBorders>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X</w:t>
            </w: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未来产业</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2</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1.12%</w:t>
            </w:r>
          </w:p>
        </w:tc>
      </w:tr>
      <w:tr>
        <w:tblPrEx>
          <w:tblCellMar>
            <w:top w:w="0" w:type="dxa"/>
            <w:left w:w="108" w:type="dxa"/>
            <w:bottom w:w="0" w:type="dxa"/>
            <w:right w:w="108" w:type="dxa"/>
          </w:tblCellMar>
        </w:tblPrEx>
        <w:trPr>
          <w:trHeight w:val="312" w:hRule="atLeast"/>
          <w:jc w:val="center"/>
        </w:trPr>
        <w:tc>
          <w:tcPr>
            <w:tcW w:w="905"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合计</w:t>
            </w:r>
          </w:p>
        </w:tc>
        <w:tc>
          <w:tcPr>
            <w:tcW w:w="1655" w:type="dxa"/>
            <w:tcBorders>
              <w:top w:val="nil"/>
              <w:left w:val="nil"/>
              <w:bottom w:val="single" w:color="auto" w:sz="4" w:space="0"/>
              <w:right w:val="single" w:color="auto" w:sz="4" w:space="0"/>
            </w:tcBorders>
            <w:vAlign w:val="center"/>
          </w:tcPr>
          <w:p>
            <w:pPr>
              <w:widowControl/>
              <w:ind w:firstLine="0" w:firstLineChars="0"/>
              <w:jc w:val="center"/>
              <w:rPr>
                <w:rFonts w:eastAsia="宋体"/>
                <w:b/>
                <w:bCs/>
                <w:color w:val="000000"/>
                <w:kern w:val="0"/>
                <w:sz w:val="24"/>
                <w:szCs w:val="24"/>
              </w:rPr>
            </w:pPr>
            <w:r>
              <w:rPr>
                <w:rFonts w:eastAsia="宋体"/>
                <w:b/>
                <w:bCs/>
                <w:color w:val="000000"/>
                <w:kern w:val="0"/>
                <w:sz w:val="24"/>
                <w:szCs w:val="24"/>
              </w:rPr>
              <w:t>-</w:t>
            </w:r>
          </w:p>
        </w:tc>
        <w:tc>
          <w:tcPr>
            <w:tcW w:w="3645" w:type="dxa"/>
            <w:tcBorders>
              <w:top w:val="nil"/>
              <w:left w:val="nil"/>
              <w:bottom w:val="single" w:color="auto" w:sz="4" w:space="0"/>
              <w:right w:val="single" w:color="auto" w:sz="4" w:space="0"/>
            </w:tcBorders>
            <w:noWrap/>
            <w:vAlign w:val="center"/>
          </w:tcPr>
          <w:p>
            <w:pPr>
              <w:widowControl/>
              <w:ind w:firstLine="0" w:firstLineChars="0"/>
              <w:jc w:val="center"/>
              <w:rPr>
                <w:rFonts w:eastAsia="宋体"/>
                <w:b/>
                <w:bCs/>
                <w:color w:val="000000"/>
                <w:kern w:val="0"/>
                <w:sz w:val="24"/>
                <w:szCs w:val="24"/>
              </w:rPr>
            </w:pPr>
            <w:r>
              <w:rPr>
                <w:rFonts w:eastAsia="宋体"/>
                <w:b/>
                <w:bCs/>
                <w:color w:val="000000"/>
                <w:kern w:val="0"/>
                <w:sz w:val="24"/>
                <w:szCs w:val="24"/>
              </w:rPr>
              <w:t>-</w:t>
            </w:r>
          </w:p>
        </w:tc>
        <w:tc>
          <w:tcPr>
            <w:tcW w:w="2460" w:type="dxa"/>
            <w:tcBorders>
              <w:top w:val="nil"/>
              <w:left w:val="nil"/>
              <w:bottom w:val="single" w:color="auto" w:sz="4" w:space="0"/>
              <w:right w:val="single" w:color="auto" w:sz="4" w:space="0"/>
            </w:tcBorders>
            <w:noWrap/>
            <w:vAlign w:val="center"/>
          </w:tcPr>
          <w:p>
            <w:pPr>
              <w:widowControl/>
              <w:ind w:firstLine="0" w:firstLineChars="0"/>
              <w:jc w:val="center"/>
              <w:rPr>
                <w:rFonts w:eastAsia="宋体"/>
                <w:b/>
                <w:bCs/>
                <w:color w:val="000000"/>
                <w:kern w:val="0"/>
                <w:sz w:val="24"/>
                <w:szCs w:val="24"/>
              </w:rPr>
            </w:pPr>
            <w:r>
              <w:rPr>
                <w:rFonts w:eastAsia="宋体"/>
                <w:b/>
                <w:bCs/>
                <w:color w:val="000000"/>
                <w:kern w:val="0"/>
                <w:sz w:val="24"/>
                <w:szCs w:val="24"/>
              </w:rPr>
              <w:t>178</w:t>
            </w:r>
          </w:p>
        </w:tc>
        <w:tc>
          <w:tcPr>
            <w:tcW w:w="184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olor w:val="000000"/>
                <w:kern w:val="0"/>
                <w:sz w:val="24"/>
                <w:szCs w:val="24"/>
              </w:rPr>
            </w:pPr>
            <w:r>
              <w:rPr>
                <w:rFonts w:eastAsia="宋体"/>
                <w:color w:val="000000"/>
                <w:kern w:val="0"/>
                <w:sz w:val="24"/>
                <w:szCs w:val="24"/>
              </w:rPr>
              <w:t>100.00%</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二是引入项目整体成长性良好，</w:t>
      </w:r>
      <w:r>
        <w:t>产值实现跨越式增长</w:t>
      </w:r>
      <w:r>
        <w:rPr>
          <w:rFonts w:hint="eastAsia"/>
        </w:rPr>
        <w:t>。2015-2025年，引入项目年度总产值从1453.17万元增长至</w:t>
      </w:r>
      <w:r>
        <w:t>419040.56</w:t>
      </w:r>
      <w:r>
        <w:rPr>
          <w:rFonts w:hint="eastAsia"/>
        </w:rPr>
        <w:t>万元，10年间增长超</w:t>
      </w:r>
      <w:r>
        <w:t>288</w:t>
      </w:r>
      <w:r>
        <w:rPr>
          <w:rFonts w:hint="eastAsia"/>
        </w:rPr>
        <w:t>倍，年复合增速达到</w:t>
      </w:r>
      <w:r>
        <w:t>76.20%</w:t>
      </w:r>
      <w:r>
        <w:rPr>
          <w:rFonts w:hint="eastAsia"/>
        </w:rPr>
        <w:t>；引入项目税收从</w:t>
      </w:r>
      <w:r>
        <w:t>36.87</w:t>
      </w:r>
      <w:r>
        <w:rPr>
          <w:rFonts w:hint="eastAsia"/>
        </w:rPr>
        <w:t>万元增长至</w:t>
      </w:r>
      <w:r>
        <w:t>16746.60</w:t>
      </w:r>
      <w:r>
        <w:rPr>
          <w:rFonts w:hint="eastAsia"/>
        </w:rPr>
        <w:t>万元，10年间增长超</w:t>
      </w:r>
      <w:r>
        <w:t>45</w:t>
      </w:r>
      <w:r>
        <w:rPr>
          <w:rFonts w:hint="eastAsia"/>
        </w:rPr>
        <w:t>4倍，年复合增速达到</w:t>
      </w:r>
      <w:r>
        <w:t>84.</w:t>
      </w:r>
      <w:r>
        <w:rPr>
          <w:rFonts w:hint="eastAsia"/>
        </w:rPr>
        <w:t>38%。</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2015-2017年主要为项目培育期，产值稳步增长，从1453.17万元增长至12017.68万元，年复合增速约87.58%；2018年之后，培育项目整体产值规模进入爆发增长期，2020年产值突破10亿元，2021年产值突破20亿元，2025年产值达419040.56万元。此外，从产业角度来看，</w:t>
      </w:r>
      <w:r>
        <w:t>新一代信息技术与智能网联汽车</w:t>
      </w:r>
      <w:r>
        <w:rPr>
          <w:rFonts w:hint="eastAsia"/>
        </w:rPr>
        <w:t>及四大战新产业项目产值均突破亿元，</w:t>
      </w:r>
      <w:r>
        <w:t>新一代信息技术与智能网联汽车</w:t>
      </w:r>
      <w:r>
        <w:rPr>
          <w:rFonts w:hint="eastAsia"/>
        </w:rPr>
        <w:t>及</w:t>
      </w:r>
      <w:r>
        <w:t>机器人与智能装备制造</w:t>
      </w:r>
      <w:r>
        <w:rPr>
          <w:rFonts w:hint="eastAsia"/>
        </w:rPr>
        <w:t>、</w:t>
      </w:r>
      <w:r>
        <w:t>半导体与集成电路</w:t>
      </w:r>
      <w:r>
        <w:rPr>
          <w:rFonts w:hint="eastAsia"/>
        </w:rPr>
        <w:t>产值规模已经突破5亿元（详见下表3-2）。</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sectPr>
          <w:pgSz w:w="11906" w:h="16838"/>
          <w:pgMar w:top="1440" w:right="1800" w:bottom="1440" w:left="1800" w:header="851" w:footer="992" w:gutter="0"/>
          <w:pgNumType w:fmt="decimal"/>
          <w:cols w:space="425" w:num="1"/>
          <w:docGrid w:type="lines" w:linePitch="312" w:charSpace="0"/>
        </w:sectPr>
      </w:pPr>
      <w:r>
        <w:rPr>
          <w:rFonts w:hint="eastAsia"/>
        </w:rPr>
        <w:t>三是项目整体发展较好，培育出一批代表性项目。近 10 年引入的项目已成功培育且留存的规上企业达到19家，占留存企业数的10.67%（19/178），已经认定高新技术企业数量达到28家；上市及上市后备企业达到3家。</w:t>
      </w:r>
      <w:r>
        <w:t>早期引入的优质项目已成长为行业标杆，例如 2015 年引入的广东盈动高科自动化有限公司、东莞天天向上医疗科技有限公司等，均已发展为规上企业，年产值超 5000 万元，带动了上下游配套企业集聚。</w:t>
      </w:r>
    </w:p>
    <w:p>
      <w:pPr>
        <w:ind w:firstLine="560"/>
        <w:jc w:val="center"/>
        <w:rPr>
          <w:rFonts w:eastAsia="黑体"/>
          <w:sz w:val="28"/>
        </w:rPr>
      </w:pPr>
      <w:r>
        <w:rPr>
          <w:rFonts w:hint="eastAsia" w:eastAsia="黑体"/>
          <w:sz w:val="28"/>
        </w:rPr>
        <w:t>表3-2 存量项目历年来产值统计表（单位：万元）</w:t>
      </w:r>
    </w:p>
    <w:tbl>
      <w:tblPr>
        <w:tblStyle w:val="24"/>
        <w:tblW w:w="14748" w:type="dxa"/>
        <w:jc w:val="center"/>
        <w:tblLayout w:type="autofit"/>
        <w:tblCellMar>
          <w:top w:w="0" w:type="dxa"/>
          <w:left w:w="108" w:type="dxa"/>
          <w:bottom w:w="0" w:type="dxa"/>
          <w:right w:w="108" w:type="dxa"/>
        </w:tblCellMar>
      </w:tblPr>
      <w:tblGrid>
        <w:gridCol w:w="893"/>
        <w:gridCol w:w="1976"/>
        <w:gridCol w:w="1076"/>
        <w:gridCol w:w="1076"/>
        <w:gridCol w:w="1076"/>
        <w:gridCol w:w="1076"/>
        <w:gridCol w:w="1076"/>
        <w:gridCol w:w="1083"/>
        <w:gridCol w:w="1083"/>
        <w:gridCol w:w="1083"/>
        <w:gridCol w:w="1083"/>
        <w:gridCol w:w="1083"/>
        <w:gridCol w:w="1084"/>
      </w:tblGrid>
      <w:tr>
        <w:tblPrEx>
          <w:tblCellMar>
            <w:top w:w="0" w:type="dxa"/>
            <w:left w:w="108" w:type="dxa"/>
            <w:bottom w:w="0" w:type="dxa"/>
            <w:right w:w="108" w:type="dxa"/>
          </w:tblCellMar>
        </w:tblPrEx>
        <w:trPr>
          <w:trHeight w:val="588" w:hRule="atLeast"/>
          <w:jc w:val="center"/>
        </w:trPr>
        <w:tc>
          <w:tcPr>
            <w:tcW w:w="84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序号</w:t>
            </w:r>
          </w:p>
        </w:tc>
        <w:tc>
          <w:tcPr>
            <w:tcW w:w="1872"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产业方向</w:t>
            </w:r>
          </w:p>
        </w:tc>
        <w:tc>
          <w:tcPr>
            <w:tcW w:w="102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2015年</w:t>
            </w:r>
          </w:p>
        </w:tc>
        <w:tc>
          <w:tcPr>
            <w:tcW w:w="102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2016年</w:t>
            </w:r>
          </w:p>
        </w:tc>
        <w:tc>
          <w:tcPr>
            <w:tcW w:w="102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2017年</w:t>
            </w:r>
          </w:p>
        </w:tc>
        <w:tc>
          <w:tcPr>
            <w:tcW w:w="102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2018年</w:t>
            </w:r>
          </w:p>
        </w:tc>
        <w:tc>
          <w:tcPr>
            <w:tcW w:w="102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2019年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2020年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2021年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2022年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2023年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2024年</w:t>
            </w:r>
          </w:p>
        </w:tc>
        <w:tc>
          <w:tcPr>
            <w:tcW w:w="102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18"/>
                <w:szCs w:val="18"/>
              </w:rPr>
            </w:pPr>
            <w:r>
              <w:rPr>
                <w:rFonts w:hint="eastAsia" w:eastAsia="宋体" w:cs="宋体"/>
                <w:b/>
                <w:bCs/>
                <w:kern w:val="0"/>
                <w:sz w:val="18"/>
                <w:szCs w:val="18"/>
              </w:rPr>
              <w:t>2025年</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新一代信息技术与智能网联汽车</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4487.38</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2706.31</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8054.43</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25651.97</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38079.88</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53411.97</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59405.17</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48499.23</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机器人与智能装备制造</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973.97</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4007.31</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5185.83</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7340.85</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9846.81</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81689.65</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161183.66</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153370.81</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173574.44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248990.74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258551.97</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半导体与集成电路</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1.50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5900.00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4431.17</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7700.89</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11381.94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20365.48</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39718.77</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20878.29</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37171.15</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61849.33</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79198.77</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生物医药与健康</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477.70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942.12</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2400.68</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2417.32</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1735.54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4047.30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7655.62</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23467.80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10735.24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13352.64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19261.93</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5</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新材料与新能源</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7546.76</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9326.50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18042.84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12228.89</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10625.16</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7722.04</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8432.23</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12288.06</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6</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生产性服务业</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456.00</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未来产业</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0.00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482.92</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225.62</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460.12</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784.60</w:t>
            </w:r>
          </w:p>
        </w:tc>
      </w:tr>
      <w:tr>
        <w:tblPrEx>
          <w:tblCellMar>
            <w:top w:w="0" w:type="dxa"/>
            <w:left w:w="108" w:type="dxa"/>
            <w:bottom w:w="0" w:type="dxa"/>
            <w:right w:w="108" w:type="dxa"/>
          </w:tblCellMar>
        </w:tblPrEx>
        <w:trPr>
          <w:trHeight w:val="63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8</w:t>
            </w:r>
          </w:p>
        </w:tc>
        <w:tc>
          <w:tcPr>
            <w:tcW w:w="1872"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18"/>
                <w:szCs w:val="18"/>
              </w:rPr>
            </w:pPr>
            <w:r>
              <w:rPr>
                <w:rFonts w:hint="eastAsia" w:cs="宋体"/>
                <w:color w:val="000000"/>
                <w:kern w:val="0"/>
                <w:sz w:val="18"/>
                <w:szCs w:val="18"/>
              </w:rPr>
              <w:t>小计</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1453.17</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10849.43</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12017.68</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29493.19</w:t>
            </w:r>
          </w:p>
        </w:tc>
        <w:tc>
          <w:tcPr>
            <w:tcW w:w="102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34997.10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132199.70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246438.90</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246904.85</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282840.46</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392500.22</w:t>
            </w:r>
          </w:p>
        </w:tc>
        <w:tc>
          <w:tcPr>
            <w:tcW w:w="102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18"/>
                <w:szCs w:val="18"/>
              </w:rPr>
            </w:pPr>
            <w:r>
              <w:rPr>
                <w:rFonts w:hint="eastAsia" w:eastAsia="宋体" w:cs="宋体"/>
                <w:kern w:val="0"/>
                <w:sz w:val="18"/>
                <w:szCs w:val="18"/>
              </w:rPr>
              <w:t>419040.56</w:t>
            </w:r>
          </w:p>
        </w:tc>
      </w:tr>
    </w:tbl>
    <w:p>
      <w:pPr>
        <w:ind w:firstLine="480"/>
        <w:jc w:val="center"/>
        <w:rPr>
          <w:rFonts w:eastAsia="黑体"/>
          <w:sz w:val="24"/>
          <w:szCs w:val="28"/>
        </w:rPr>
      </w:pPr>
    </w:p>
    <w:p>
      <w:pPr>
        <w:ind w:firstLine="442"/>
        <w:jc w:val="left"/>
        <w:rPr>
          <w:b/>
          <w:bCs/>
          <w:sz w:val="22"/>
          <w:szCs w:val="16"/>
        </w:rPr>
        <w:sectPr>
          <w:pgSz w:w="16838" w:h="11906" w:orient="landscape"/>
          <w:pgMar w:top="1800" w:right="1440" w:bottom="1800" w:left="1440" w:header="851" w:footer="992" w:gutter="0"/>
          <w:pgNumType w:fmt="decimal"/>
          <w:cols w:space="425" w:num="1"/>
          <w:docGrid w:type="lines" w:linePitch="312" w:charSpace="0"/>
        </w:sectPr>
      </w:pPr>
      <w:r>
        <w:rPr>
          <w:rFonts w:hint="eastAsia"/>
          <w:b/>
          <w:bCs/>
          <w:sz w:val="22"/>
          <w:szCs w:val="16"/>
        </w:rPr>
        <w:t>备注：</w:t>
      </w:r>
      <w:r>
        <w:rPr>
          <w:rFonts w:hint="eastAsia" w:cs="宋体"/>
          <w:color w:val="000000"/>
          <w:kern w:val="0"/>
          <w:sz w:val="22"/>
          <w:szCs w:val="16"/>
        </w:rPr>
        <w:t>生产性服务业、未来产业分别于2017年、2020年开始引入项目。</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59" w:name="_Toc232169761"/>
      <w:bookmarkStart w:id="60" w:name="_Toc14182"/>
      <w:bookmarkStart w:id="61" w:name="_Toc8954"/>
      <w:r>
        <w:rPr>
          <w:rFonts w:hint="eastAsia"/>
          <w:b w:val="0"/>
          <w:bCs w:val="0"/>
          <w:kern w:val="0"/>
        </w:rPr>
        <w:t>（二）经济效益：</w:t>
      </w:r>
      <w:bookmarkStart w:id="62" w:name="_Hlk231995624"/>
      <w:r>
        <w:rPr>
          <w:rFonts w:hint="eastAsia"/>
          <w:b w:val="0"/>
          <w:bCs w:val="0"/>
          <w:kern w:val="0"/>
        </w:rPr>
        <w:t>财政税收效益可观，形成稳定税源</w:t>
      </w:r>
      <w:bookmarkEnd w:id="59"/>
      <w:bookmarkEnd w:id="60"/>
      <w:bookmarkEnd w:id="61"/>
      <w:bookmarkEnd w:id="62"/>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自2015年引入首批项目以来，奖补项目即在松山湖扎根发展，随着自身产值规模的不断壮大，落地项目的创税能力和规模也对应增长。经统计，2015年首批引入项目当年纳税仅36.87万元，经过跨越式发展，快速突破亿元，2025年年度纳税达到</w:t>
      </w:r>
      <w:r>
        <w:t>16764.60</w:t>
      </w:r>
      <w:r>
        <w:rPr>
          <w:rFonts w:hint="eastAsia"/>
        </w:rPr>
        <w:t>万元，创税规模增长超过450倍。</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财政资金直接奖补项目创税能力明显提升并形成累积效应。按照财政资金直接奖补为口径（办赛费用除外），引入项目经过2-3年的发展，其创税规模即与财政直接奖补资金比例持平，按照累计</w:t>
      </w:r>
      <w:r>
        <w:t>税收/累计财政</w:t>
      </w:r>
      <w:r>
        <w:rPr>
          <w:rFonts w:hint="eastAsia"/>
        </w:rPr>
        <w:t>规模比例，引入项目从2015年发展至2018年即实现了平衡并超过1倍。</w:t>
      </w:r>
      <w:bookmarkStart w:id="63" w:name="_Hlk231995773"/>
      <w:r>
        <w:rPr>
          <w:rFonts w:hint="eastAsia"/>
        </w:rPr>
        <w:t>2015-2025年累计拨付赛事奖励共计3885万元，存续项目累计创税规模为56413.56万元，累计税收/累计赛事奖励投入比从2015年办赛之初的0.09提升为14.52，累计税收/累计财政投入比从2015年办赛之初的0.07提升为7.35，财政投入带来了明显的税收收入积累效应，对整个园区形成较为稳定的税源基础。</w:t>
      </w:r>
      <w:bookmarkEnd w:id="63"/>
      <w:r>
        <w:rPr>
          <w:rFonts w:hint="eastAsia"/>
        </w:rPr>
        <w:t>详见下表：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sz w:val="28"/>
        </w:rPr>
        <w:sectPr>
          <w:pgSz w:w="11906" w:h="16838"/>
          <w:pgMar w:top="1440" w:right="1800" w:bottom="1440" w:left="1800" w:header="851" w:footer="992" w:gutter="0"/>
          <w:pgNumType w:fmt="decimal"/>
          <w:cols w:space="425" w:num="1"/>
          <w:docGrid w:type="lines" w:linePitch="312" w:charSpace="0"/>
        </w:sectPr>
      </w:pPr>
    </w:p>
    <w:p>
      <w:pPr>
        <w:ind w:firstLine="560"/>
        <w:jc w:val="center"/>
        <w:rPr>
          <w:rFonts w:eastAsia="黑体"/>
          <w:sz w:val="28"/>
          <w:szCs w:val="28"/>
        </w:rPr>
      </w:pPr>
      <w:r>
        <w:rPr>
          <w:rFonts w:hint="eastAsia" w:eastAsia="黑体"/>
          <w:sz w:val="28"/>
          <w:szCs w:val="28"/>
        </w:rPr>
        <w:t xml:space="preserve">表3-3 </w:t>
      </w:r>
      <w:bookmarkStart w:id="64" w:name="OLE_LINK11"/>
      <w:r>
        <w:rPr>
          <w:rFonts w:hint="eastAsia" w:eastAsia="黑体"/>
          <w:sz w:val="28"/>
          <w:szCs w:val="28"/>
        </w:rPr>
        <w:t>创赛引入项目</w:t>
      </w:r>
      <w:bookmarkEnd w:id="64"/>
      <w:r>
        <w:rPr>
          <w:rFonts w:hint="eastAsia" w:eastAsia="黑体"/>
          <w:sz w:val="28"/>
          <w:szCs w:val="28"/>
        </w:rPr>
        <w:t>历年来财政投入及创税规模情况（年、万元）</w:t>
      </w:r>
    </w:p>
    <w:tbl>
      <w:tblPr>
        <w:tblStyle w:val="24"/>
        <w:tblW w:w="13948" w:type="dxa"/>
        <w:jc w:val="center"/>
        <w:tblLayout w:type="autofit"/>
        <w:tblCellMar>
          <w:top w:w="0" w:type="dxa"/>
          <w:left w:w="108" w:type="dxa"/>
          <w:bottom w:w="0" w:type="dxa"/>
          <w:right w:w="108" w:type="dxa"/>
        </w:tblCellMar>
      </w:tblPr>
      <w:tblGrid>
        <w:gridCol w:w="2555"/>
        <w:gridCol w:w="1028"/>
        <w:gridCol w:w="1028"/>
        <w:gridCol w:w="1028"/>
        <w:gridCol w:w="1028"/>
        <w:gridCol w:w="1028"/>
        <w:gridCol w:w="1028"/>
        <w:gridCol w:w="1045"/>
        <w:gridCol w:w="1045"/>
        <w:gridCol w:w="1045"/>
        <w:gridCol w:w="1045"/>
        <w:gridCol w:w="1045"/>
      </w:tblGrid>
      <w:tr>
        <w:tblPrEx>
          <w:tblCellMar>
            <w:top w:w="0" w:type="dxa"/>
            <w:left w:w="108" w:type="dxa"/>
            <w:bottom w:w="0" w:type="dxa"/>
            <w:right w:w="108" w:type="dxa"/>
          </w:tblCellMar>
        </w:tblPrEx>
        <w:trPr>
          <w:trHeight w:val="456" w:hRule="atLeast"/>
          <w:jc w:val="center"/>
        </w:trPr>
        <w:tc>
          <w:tcPr>
            <w:tcW w:w="248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指标统计</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2015</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2016</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2017</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2018</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2019</w:t>
            </w:r>
          </w:p>
        </w:tc>
        <w:tc>
          <w:tcPr>
            <w:tcW w:w="100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2020</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2021</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2022</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2023</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2024</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b/>
                <w:bCs/>
                <w:kern w:val="0"/>
                <w:sz w:val="20"/>
                <w:szCs w:val="20"/>
              </w:rPr>
            </w:pPr>
            <w:r>
              <w:rPr>
                <w:rFonts w:hint="eastAsia" w:eastAsia="宋体" w:cs="宋体"/>
                <w:b/>
                <w:bCs/>
                <w:kern w:val="0"/>
                <w:sz w:val="20"/>
                <w:szCs w:val="20"/>
              </w:rPr>
              <w:t>2025</w:t>
            </w:r>
          </w:p>
        </w:tc>
      </w:tr>
      <w:tr>
        <w:tblPrEx>
          <w:tblCellMar>
            <w:top w:w="0" w:type="dxa"/>
            <w:left w:w="108" w:type="dxa"/>
            <w:bottom w:w="0" w:type="dxa"/>
            <w:right w:w="108" w:type="dxa"/>
          </w:tblCellMar>
        </w:tblPrEx>
        <w:trPr>
          <w:trHeight w:val="468"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当年财政奖励（实付）</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430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305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345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980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1100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390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120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215</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w:t>
            </w:r>
          </w:p>
        </w:tc>
      </w:tr>
      <w:tr>
        <w:tblPrEx>
          <w:tblCellMar>
            <w:top w:w="0" w:type="dxa"/>
            <w:left w:w="108" w:type="dxa"/>
            <w:bottom w:w="0" w:type="dxa"/>
            <w:right w:w="108" w:type="dxa"/>
          </w:tblCellMar>
        </w:tblPrEx>
        <w:trPr>
          <w:trHeight w:val="468"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累计财政奖励投入</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430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735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1080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1080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2060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3160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3550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3550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3670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3885</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3885</w:t>
            </w:r>
          </w:p>
        </w:tc>
      </w:tr>
      <w:tr>
        <w:tblPrEx>
          <w:tblCellMar>
            <w:top w:w="0" w:type="dxa"/>
            <w:left w:w="108" w:type="dxa"/>
            <w:bottom w:w="0" w:type="dxa"/>
            <w:right w:w="108" w:type="dxa"/>
          </w:tblCellMar>
        </w:tblPrEx>
        <w:trPr>
          <w:trHeight w:val="468"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当年办赛费用</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85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199.7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633.78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　</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610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770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470</w:t>
            </w:r>
          </w:p>
        </w:tc>
        <w:tc>
          <w:tcPr>
            <w:tcW w:w="1016" w:type="dxa"/>
            <w:tcBorders>
              <w:top w:val="nil"/>
              <w:left w:val="nil"/>
              <w:bottom w:val="nil"/>
              <w:right w:val="nil"/>
            </w:tcBorders>
            <w:noWrap/>
            <w:vAlign w:val="center"/>
          </w:tcPr>
          <w:p>
            <w:pPr>
              <w:widowControl/>
              <w:ind w:firstLine="0" w:firstLineChars="0"/>
              <w:jc w:val="center"/>
              <w:rPr>
                <w:rFonts w:eastAsia="宋体" w:cs="宋体"/>
                <w:kern w:val="0"/>
                <w:sz w:val="20"/>
                <w:szCs w:val="20"/>
              </w:rPr>
            </w:pPr>
          </w:p>
        </w:tc>
        <w:tc>
          <w:tcPr>
            <w:tcW w:w="101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368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369.846</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279.9</w:t>
            </w:r>
          </w:p>
        </w:tc>
      </w:tr>
      <w:tr>
        <w:tblPrEx>
          <w:tblCellMar>
            <w:top w:w="0" w:type="dxa"/>
            <w:left w:w="108" w:type="dxa"/>
            <w:bottom w:w="0" w:type="dxa"/>
            <w:right w:w="108" w:type="dxa"/>
          </w:tblCellMar>
        </w:tblPrEx>
        <w:trPr>
          <w:trHeight w:val="468"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累计办赛费用</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85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284.7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918.48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918.48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918.48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1528.48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2298.48</w:t>
            </w:r>
          </w:p>
        </w:tc>
        <w:tc>
          <w:tcPr>
            <w:tcW w:w="1016"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2768.48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3136.48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3136.48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3786.226</w:t>
            </w:r>
          </w:p>
        </w:tc>
      </w:tr>
      <w:tr>
        <w:tblPrEx>
          <w:tblCellMar>
            <w:top w:w="0" w:type="dxa"/>
            <w:left w:w="108" w:type="dxa"/>
            <w:bottom w:w="0" w:type="dxa"/>
            <w:right w:w="108" w:type="dxa"/>
          </w:tblCellMar>
        </w:tblPrEx>
        <w:trPr>
          <w:trHeight w:val="840"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累计财政奖励投入</w:t>
            </w:r>
            <w:r>
              <w:rPr>
                <w:rFonts w:hint="eastAsia" w:eastAsia="宋体" w:cs="宋体"/>
                <w:kern w:val="0"/>
                <w:sz w:val="20"/>
                <w:szCs w:val="20"/>
              </w:rPr>
              <w:br w:type="textWrapping"/>
            </w:r>
            <w:r>
              <w:rPr>
                <w:rFonts w:hint="eastAsia" w:eastAsia="宋体" w:cs="宋体"/>
                <w:kern w:val="0"/>
                <w:sz w:val="20"/>
                <w:szCs w:val="20"/>
              </w:rPr>
              <w:t>（财政奖励+办赛费用）</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515</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1019.7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1998.48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1998.48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2978.48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4688.48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5848.48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6318.48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6806.48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7021.48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7671.226</w:t>
            </w:r>
          </w:p>
        </w:tc>
      </w:tr>
      <w:tr>
        <w:tblPrEx>
          <w:tblCellMar>
            <w:top w:w="0" w:type="dxa"/>
            <w:left w:w="108" w:type="dxa"/>
            <w:bottom w:w="0" w:type="dxa"/>
            <w:right w:w="108" w:type="dxa"/>
          </w:tblCellMar>
        </w:tblPrEx>
        <w:trPr>
          <w:trHeight w:val="552"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年度税收小计</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36.87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100.86</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427.29</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1024.68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1347.24</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5235.02</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9677.53</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4168.81</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6924.39</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10724.26</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16746.60</w:t>
            </w:r>
          </w:p>
        </w:tc>
      </w:tr>
      <w:tr>
        <w:tblPrEx>
          <w:tblCellMar>
            <w:top w:w="0" w:type="dxa"/>
            <w:left w:w="108" w:type="dxa"/>
            <w:bottom w:w="0" w:type="dxa"/>
            <w:right w:w="108" w:type="dxa"/>
          </w:tblCellMar>
        </w:tblPrEx>
        <w:trPr>
          <w:trHeight w:val="564"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累计税收小计</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36.87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137.73</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565.02</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1589.70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2936.94</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8171.96</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17849.49</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22018.31</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28942.70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39666.96</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56413.56</w:t>
            </w:r>
          </w:p>
        </w:tc>
      </w:tr>
      <w:tr>
        <w:tblPrEx>
          <w:tblCellMar>
            <w:top w:w="0" w:type="dxa"/>
            <w:left w:w="108" w:type="dxa"/>
            <w:bottom w:w="0" w:type="dxa"/>
            <w:right w:w="108" w:type="dxa"/>
          </w:tblCellMar>
        </w:tblPrEx>
        <w:trPr>
          <w:trHeight w:val="732"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累计税收小计/累计办赛奖励投入</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0.09</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0.19</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0.52</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1.47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1.43</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2.59</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5.03</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6.20</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7.89</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10.21</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14.52</w:t>
            </w:r>
          </w:p>
        </w:tc>
      </w:tr>
      <w:tr>
        <w:tblPrEx>
          <w:tblCellMar>
            <w:top w:w="0" w:type="dxa"/>
            <w:left w:w="108" w:type="dxa"/>
            <w:bottom w:w="0" w:type="dxa"/>
            <w:right w:w="108" w:type="dxa"/>
          </w:tblCellMar>
        </w:tblPrEx>
        <w:trPr>
          <w:trHeight w:val="732" w:hRule="atLeast"/>
          <w:jc w:val="center"/>
        </w:trPr>
        <w:tc>
          <w:tcPr>
            <w:tcW w:w="2485" w:type="dxa"/>
            <w:tcBorders>
              <w:top w:val="nil"/>
              <w:left w:val="single" w:color="auto" w:sz="4" w:space="0"/>
              <w:bottom w:val="single" w:color="auto" w:sz="4" w:space="0"/>
              <w:right w:val="single" w:color="auto" w:sz="4" w:space="0"/>
            </w:tcBorders>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累计税收小计/累计财政投入比</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0.07</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0.14</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0.28</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0.80</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0.99</w:t>
            </w:r>
          </w:p>
        </w:tc>
        <w:tc>
          <w:tcPr>
            <w:tcW w:w="1000"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1.74</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3.05</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3.48</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4.25</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5.65</w:t>
            </w:r>
          </w:p>
        </w:tc>
        <w:tc>
          <w:tcPr>
            <w:tcW w:w="1016" w:type="dxa"/>
            <w:tcBorders>
              <w:top w:val="nil"/>
              <w:left w:val="nil"/>
              <w:bottom w:val="single" w:color="auto" w:sz="4" w:space="0"/>
              <w:right w:val="single" w:color="auto" w:sz="4" w:space="0"/>
            </w:tcBorders>
            <w:noWrap/>
            <w:vAlign w:val="center"/>
          </w:tcPr>
          <w:p>
            <w:pPr>
              <w:widowControl/>
              <w:ind w:firstLine="0" w:firstLineChars="0"/>
              <w:jc w:val="center"/>
              <w:rPr>
                <w:rFonts w:eastAsia="宋体" w:cs="宋体"/>
                <w:kern w:val="0"/>
                <w:sz w:val="20"/>
                <w:szCs w:val="20"/>
              </w:rPr>
            </w:pPr>
            <w:r>
              <w:rPr>
                <w:rFonts w:hint="eastAsia" w:eastAsia="宋体" w:cs="宋体"/>
                <w:kern w:val="0"/>
                <w:sz w:val="20"/>
                <w:szCs w:val="20"/>
              </w:rPr>
              <w:t>7.35</w:t>
            </w:r>
          </w:p>
        </w:tc>
      </w:tr>
    </w:tbl>
    <w:p>
      <w:pPr>
        <w:ind w:firstLine="560"/>
        <w:rPr>
          <w:sz w:val="28"/>
        </w:rPr>
        <w:sectPr>
          <w:pgSz w:w="16838" w:h="11906" w:orient="landscape"/>
          <w:pgMar w:top="1800" w:right="1440" w:bottom="1800" w:left="1440" w:header="851" w:footer="992" w:gutter="0"/>
          <w:pgNumType w:fmt="decimal"/>
          <w:cols w:space="425" w:num="1"/>
          <w:docGrid w:type="lines" w:linePitch="312" w:charSpace="0"/>
        </w:sectPr>
      </w:pPr>
    </w:p>
    <w:p>
      <w:r>
        <w:rPr>
          <w:rFonts w:hint="eastAsia"/>
        </w:rPr>
        <w:t>此外，从产业角度也可以看出，除</w:t>
      </w:r>
      <w:r>
        <w:t>生产性服务业</w:t>
      </w:r>
      <w:r>
        <w:rPr>
          <w:rFonts w:hint="eastAsia"/>
        </w:rPr>
        <w:t>尚未体现其效益，其他各个产业引入项目创税能力表现突出。</w:t>
      </w:r>
      <w:r>
        <w:t>机器人与智能装备制造</w:t>
      </w:r>
      <w:r>
        <w:rPr>
          <w:rFonts w:hint="eastAsia"/>
        </w:rPr>
        <w:t>所属产业项目创税规模最大，达到36443.5万元，</w:t>
      </w:r>
      <w:r>
        <w:rPr>
          <w:rFonts w:cs="仿宋_GB2312"/>
          <w:szCs w:val="32"/>
        </w:rPr>
        <w:t>而半导体与集成电路产业项目累计税收/累计财政投入比最大，超过</w:t>
      </w:r>
      <w:r>
        <w:rPr>
          <w:rFonts w:hint="eastAsia" w:cs="仿宋_GB2312"/>
          <w:szCs w:val="32"/>
          <w:lang w:val="en-US" w:eastAsia="zh-CN"/>
        </w:rPr>
        <w:t>17</w:t>
      </w:r>
      <w:r>
        <w:rPr>
          <w:rFonts w:cs="仿宋_GB2312"/>
          <w:szCs w:val="32"/>
        </w:rPr>
        <w:t>倍</w:t>
      </w:r>
      <w:r>
        <w:rPr>
          <w:rFonts w:hint="eastAsia"/>
        </w:rPr>
        <w:t>，详见下表。</w:t>
      </w:r>
    </w:p>
    <w:p>
      <w:pPr>
        <w:ind w:firstLine="560"/>
        <w:jc w:val="center"/>
        <w:rPr>
          <w:rFonts w:eastAsia="黑体"/>
          <w:sz w:val="28"/>
          <w:szCs w:val="28"/>
        </w:rPr>
      </w:pPr>
      <w:bookmarkStart w:id="65" w:name="OLE_LINK18"/>
      <w:r>
        <w:rPr>
          <w:rFonts w:hint="eastAsia" w:eastAsia="黑体"/>
          <w:sz w:val="28"/>
          <w:szCs w:val="28"/>
        </w:rPr>
        <w:t>表3-4 创赛引入项目不同产业财政投入与创税规模对比情况</w:t>
      </w:r>
    </w:p>
    <w:p>
      <w:pPr>
        <w:ind w:firstLine="480"/>
        <w:jc w:val="right"/>
        <w:rPr>
          <w:rFonts w:eastAsia="黑体"/>
          <w:sz w:val="24"/>
          <w:szCs w:val="24"/>
        </w:rPr>
      </w:pPr>
      <w:r>
        <w:rPr>
          <w:rFonts w:hint="eastAsia" w:eastAsia="黑体"/>
          <w:sz w:val="24"/>
          <w:szCs w:val="24"/>
        </w:rPr>
        <w:t>单位：万元</w:t>
      </w:r>
    </w:p>
    <w:bookmarkEnd w:id="65"/>
    <w:tbl>
      <w:tblPr>
        <w:tblStyle w:val="24"/>
        <w:tblW w:w="11198" w:type="dxa"/>
        <w:jc w:val="center"/>
        <w:tblLayout w:type="autofit"/>
        <w:tblCellMar>
          <w:top w:w="0" w:type="dxa"/>
          <w:left w:w="108" w:type="dxa"/>
          <w:bottom w:w="0" w:type="dxa"/>
          <w:right w:w="108" w:type="dxa"/>
        </w:tblCellMar>
      </w:tblPr>
      <w:tblGrid>
        <w:gridCol w:w="599"/>
        <w:gridCol w:w="2000"/>
        <w:gridCol w:w="1370"/>
        <w:gridCol w:w="1417"/>
        <w:gridCol w:w="1276"/>
        <w:gridCol w:w="1417"/>
        <w:gridCol w:w="1560"/>
        <w:gridCol w:w="1559"/>
      </w:tblGrid>
      <w:tr>
        <w:tblPrEx>
          <w:tblCellMar>
            <w:top w:w="0" w:type="dxa"/>
            <w:left w:w="108" w:type="dxa"/>
            <w:bottom w:w="0" w:type="dxa"/>
            <w:right w:w="108" w:type="dxa"/>
          </w:tblCellMar>
        </w:tblPrEx>
        <w:trPr>
          <w:trHeight w:val="540" w:hRule="atLeast"/>
          <w:jc w:val="center"/>
        </w:trPr>
        <w:tc>
          <w:tcPr>
            <w:tcW w:w="59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b/>
                <w:bCs/>
                <w:kern w:val="0"/>
                <w:sz w:val="22"/>
                <w:szCs w:val="22"/>
              </w:rPr>
            </w:pPr>
            <w:bookmarkStart w:id="66" w:name="RANGE!A1"/>
            <w:r>
              <w:rPr>
                <w:rFonts w:hint="eastAsia" w:ascii="仿宋_GB2312" w:hAnsi="宋体" w:cs="宋体"/>
                <w:b/>
                <w:bCs/>
                <w:kern w:val="0"/>
                <w:sz w:val="22"/>
                <w:szCs w:val="22"/>
              </w:rPr>
              <w:t>序号</w:t>
            </w:r>
            <w:bookmarkEnd w:id="66"/>
          </w:p>
        </w:tc>
        <w:tc>
          <w:tcPr>
            <w:tcW w:w="2000"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产业方向</w:t>
            </w:r>
          </w:p>
        </w:tc>
        <w:tc>
          <w:tcPr>
            <w:tcW w:w="1370"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累计赛事奖励投入规模</w:t>
            </w:r>
          </w:p>
        </w:tc>
        <w:tc>
          <w:tcPr>
            <w:tcW w:w="1417"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累计办赛费用规模</w:t>
            </w:r>
          </w:p>
        </w:tc>
        <w:tc>
          <w:tcPr>
            <w:tcW w:w="1276"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累计财政投入</w:t>
            </w:r>
          </w:p>
        </w:tc>
        <w:tc>
          <w:tcPr>
            <w:tcW w:w="1417"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累计创税规模</w:t>
            </w:r>
          </w:p>
        </w:tc>
        <w:tc>
          <w:tcPr>
            <w:tcW w:w="1560"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bookmarkStart w:id="67" w:name="RANGE!G1"/>
            <w:r>
              <w:rPr>
                <w:rFonts w:hint="eastAsia" w:ascii="仿宋_GB2312" w:hAnsi="宋体" w:cs="宋体"/>
                <w:b/>
                <w:bCs/>
                <w:kern w:val="0"/>
                <w:sz w:val="22"/>
                <w:szCs w:val="22"/>
              </w:rPr>
              <w:t>累计税收</w:t>
            </w:r>
            <w:r>
              <w:rPr>
                <w:rFonts w:hint="eastAsia" w:ascii="仿宋_GB2312"/>
                <w:b/>
                <w:bCs/>
                <w:kern w:val="0"/>
                <w:sz w:val="22"/>
                <w:szCs w:val="22"/>
              </w:rPr>
              <w:t>/</w:t>
            </w:r>
            <w:r>
              <w:rPr>
                <w:rFonts w:hint="eastAsia" w:ascii="仿宋_GB2312" w:hAnsi="宋体" w:cs="宋体"/>
                <w:b/>
                <w:bCs/>
                <w:kern w:val="0"/>
                <w:sz w:val="22"/>
                <w:szCs w:val="22"/>
              </w:rPr>
              <w:t>累计赛事奖励投入比</w:t>
            </w:r>
            <w:bookmarkEnd w:id="67"/>
          </w:p>
        </w:tc>
        <w:tc>
          <w:tcPr>
            <w:tcW w:w="1559" w:type="dxa"/>
            <w:tcBorders>
              <w:top w:val="single" w:color="auto" w:sz="4" w:space="0"/>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累计税收/累计财政投入比</w:t>
            </w:r>
          </w:p>
        </w:tc>
      </w:tr>
      <w:tr>
        <w:tblPrEx>
          <w:tblCellMar>
            <w:top w:w="0" w:type="dxa"/>
            <w:left w:w="108" w:type="dxa"/>
            <w:bottom w:w="0" w:type="dxa"/>
            <w:right w:w="108" w:type="dxa"/>
          </w:tblCellMar>
        </w:tblPrEx>
        <w:trPr>
          <w:trHeight w:val="576" w:hRule="atLeast"/>
          <w:jc w:val="center"/>
        </w:trPr>
        <w:tc>
          <w:tcPr>
            <w:tcW w:w="2599" w:type="dxa"/>
            <w:gridSpan w:val="2"/>
            <w:tcBorders>
              <w:top w:val="single" w:color="auto" w:sz="4" w:space="0"/>
              <w:left w:val="single" w:color="auto" w:sz="4" w:space="0"/>
              <w:bottom w:val="single" w:color="auto" w:sz="4" w:space="0"/>
              <w:right w:val="single" w:color="000000" w:sz="4" w:space="0"/>
            </w:tcBorders>
            <w:noWrap/>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合计</w:t>
            </w:r>
          </w:p>
        </w:tc>
        <w:tc>
          <w:tcPr>
            <w:tcW w:w="137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3885</w:t>
            </w:r>
          </w:p>
        </w:tc>
        <w:tc>
          <w:tcPr>
            <w:tcW w:w="1417"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3786.23</w:t>
            </w:r>
          </w:p>
        </w:tc>
        <w:tc>
          <w:tcPr>
            <w:tcW w:w="1276"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7671.23</w:t>
            </w:r>
          </w:p>
        </w:tc>
        <w:tc>
          <w:tcPr>
            <w:tcW w:w="1417"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56413.75</w:t>
            </w:r>
          </w:p>
        </w:tc>
        <w:tc>
          <w:tcPr>
            <w:tcW w:w="156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14.52</w:t>
            </w:r>
          </w:p>
        </w:tc>
        <w:tc>
          <w:tcPr>
            <w:tcW w:w="1559"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b/>
                <w:bCs/>
                <w:kern w:val="0"/>
                <w:sz w:val="22"/>
                <w:szCs w:val="22"/>
              </w:rPr>
            </w:pPr>
            <w:r>
              <w:rPr>
                <w:rFonts w:hint="eastAsia" w:ascii="仿宋_GB2312" w:hAnsi="宋体" w:cs="宋体"/>
                <w:b/>
                <w:bCs/>
                <w:kern w:val="0"/>
                <w:sz w:val="22"/>
                <w:szCs w:val="22"/>
              </w:rPr>
              <w:t>7.35</w:t>
            </w:r>
          </w:p>
        </w:tc>
      </w:tr>
      <w:tr>
        <w:tblPrEx>
          <w:tblCellMar>
            <w:top w:w="0" w:type="dxa"/>
            <w:left w:w="108" w:type="dxa"/>
            <w:bottom w:w="0" w:type="dxa"/>
            <w:right w:w="108" w:type="dxa"/>
          </w:tblCellMar>
        </w:tblPrEx>
        <w:trPr>
          <w:trHeight w:val="528"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新一代信息技术与智能网联汽车</w:t>
            </w:r>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600</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676.61</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1276.61</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6313.46</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10.52</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4.95</w:t>
            </w:r>
          </w:p>
        </w:tc>
      </w:tr>
      <w:tr>
        <w:tblPrEx>
          <w:tblCellMar>
            <w:top w:w="0" w:type="dxa"/>
            <w:left w:w="108" w:type="dxa"/>
            <w:bottom w:w="0" w:type="dxa"/>
            <w:right w:w="108" w:type="dxa"/>
          </w:tblCellMar>
        </w:tblPrEx>
        <w:trPr>
          <w:trHeight w:val="744"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bookmarkStart w:id="68" w:name="RANGE!B4"/>
            <w:r>
              <w:rPr>
                <w:rFonts w:hint="eastAsia" w:ascii="仿宋_GB2312" w:hAnsi="宋体" w:cs="宋体"/>
                <w:color w:val="000000"/>
                <w:kern w:val="0"/>
                <w:sz w:val="22"/>
                <w:szCs w:val="22"/>
              </w:rPr>
              <w:t>机器人与智能装备制造</w:t>
            </w:r>
            <w:bookmarkEnd w:id="68"/>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1245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1163.53</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2408.53</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bookmarkStart w:id="69" w:name="RANGE!F4"/>
            <w:r>
              <w:rPr>
                <w:rFonts w:hint="eastAsia" w:ascii="仿宋_GB2312"/>
                <w:kern w:val="0"/>
                <w:sz w:val="22"/>
                <w:szCs w:val="22"/>
              </w:rPr>
              <w:t>36443.51</w:t>
            </w:r>
            <w:bookmarkEnd w:id="69"/>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24.95</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15.13</w:t>
            </w:r>
          </w:p>
        </w:tc>
      </w:tr>
      <w:tr>
        <w:tblPrEx>
          <w:tblCellMar>
            <w:top w:w="0" w:type="dxa"/>
            <w:left w:w="108" w:type="dxa"/>
            <w:bottom w:w="0" w:type="dxa"/>
            <w:right w:w="108" w:type="dxa"/>
          </w:tblCellMar>
        </w:tblPrEx>
        <w:trPr>
          <w:trHeight w:val="540"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3</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bookmarkStart w:id="70" w:name="RANGE!B5"/>
            <w:r>
              <w:rPr>
                <w:rFonts w:hint="eastAsia" w:ascii="仿宋_GB2312" w:hAnsi="宋体" w:cs="宋体"/>
                <w:color w:val="000000"/>
                <w:kern w:val="0"/>
                <w:sz w:val="22"/>
                <w:szCs w:val="22"/>
              </w:rPr>
              <w:t>半导体与集成电路</w:t>
            </w:r>
            <w:bookmarkEnd w:id="70"/>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240</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234.15</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474.15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8269.8</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43.53</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17.44</w:t>
            </w:r>
          </w:p>
        </w:tc>
      </w:tr>
      <w:tr>
        <w:tblPrEx>
          <w:tblCellMar>
            <w:top w:w="0" w:type="dxa"/>
            <w:left w:w="108" w:type="dxa"/>
            <w:bottom w:w="0" w:type="dxa"/>
            <w:right w:w="108" w:type="dxa"/>
          </w:tblCellMar>
        </w:tblPrEx>
        <w:trPr>
          <w:trHeight w:val="540"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4</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生物医药与健康</w:t>
            </w:r>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640</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716.85</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1356.85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3022.23</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4.72</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2.23</w:t>
            </w:r>
          </w:p>
        </w:tc>
      </w:tr>
      <w:tr>
        <w:tblPrEx>
          <w:tblCellMar>
            <w:top w:w="0" w:type="dxa"/>
            <w:left w:w="108" w:type="dxa"/>
            <w:bottom w:w="0" w:type="dxa"/>
            <w:right w:w="108" w:type="dxa"/>
          </w:tblCellMar>
        </w:tblPrEx>
        <w:trPr>
          <w:trHeight w:val="540"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5</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新材料与新能源</w:t>
            </w:r>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625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589.40</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1214.40</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2284.25</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3.65</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1.88</w:t>
            </w:r>
          </w:p>
        </w:tc>
      </w:tr>
      <w:tr>
        <w:tblPrEx>
          <w:tblCellMar>
            <w:top w:w="0" w:type="dxa"/>
            <w:left w:w="108" w:type="dxa"/>
            <w:bottom w:w="0" w:type="dxa"/>
            <w:right w:w="108" w:type="dxa"/>
          </w:tblCellMar>
        </w:tblPrEx>
        <w:trPr>
          <w:trHeight w:val="540"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6</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生产性服务业</w:t>
            </w:r>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380</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360.91</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740.91</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0.1</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0</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0.00</w:t>
            </w:r>
          </w:p>
        </w:tc>
      </w:tr>
      <w:tr>
        <w:tblPrEx>
          <w:tblCellMar>
            <w:top w:w="0" w:type="dxa"/>
            <w:left w:w="108" w:type="dxa"/>
            <w:bottom w:w="0" w:type="dxa"/>
            <w:right w:w="108" w:type="dxa"/>
          </w:tblCellMar>
        </w:tblPrEx>
        <w:trPr>
          <w:trHeight w:val="540" w:hRule="atLeast"/>
          <w:jc w:val="center"/>
        </w:trPr>
        <w:tc>
          <w:tcPr>
            <w:tcW w:w="599" w:type="dxa"/>
            <w:tcBorders>
              <w:top w:val="nil"/>
              <w:left w:val="single" w:color="auto" w:sz="4" w:space="0"/>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7</w:t>
            </w:r>
          </w:p>
        </w:tc>
        <w:tc>
          <w:tcPr>
            <w:tcW w:w="200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未来产业</w:t>
            </w:r>
          </w:p>
        </w:tc>
        <w:tc>
          <w:tcPr>
            <w:tcW w:w="1370" w:type="dxa"/>
            <w:tcBorders>
              <w:top w:val="nil"/>
              <w:left w:val="nil"/>
              <w:bottom w:val="single" w:color="auto" w:sz="4" w:space="0"/>
              <w:right w:val="single" w:color="auto" w:sz="4" w:space="0"/>
            </w:tcBorders>
            <w:vAlign w:val="center"/>
          </w:tcPr>
          <w:p>
            <w:pPr>
              <w:widowControl/>
              <w:adjustRightInd w:val="0"/>
              <w:snapToGrid w:val="0"/>
              <w:ind w:firstLine="0" w:firstLineChars="0"/>
              <w:jc w:val="center"/>
              <w:rPr>
                <w:rFonts w:hint="eastAsia" w:ascii="仿宋_GB2312" w:hAnsi="宋体" w:cs="宋体"/>
                <w:color w:val="000000"/>
                <w:kern w:val="0"/>
                <w:sz w:val="22"/>
                <w:szCs w:val="22"/>
              </w:rPr>
            </w:pPr>
            <w:r>
              <w:rPr>
                <w:rFonts w:hint="eastAsia" w:ascii="仿宋_GB2312" w:hAnsi="宋体" w:cs="宋体"/>
                <w:color w:val="000000"/>
                <w:kern w:val="0"/>
                <w:sz w:val="22"/>
                <w:szCs w:val="22"/>
              </w:rPr>
              <w:t>35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44.75</w:t>
            </w:r>
          </w:p>
        </w:tc>
        <w:tc>
          <w:tcPr>
            <w:tcW w:w="1276"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79.75</w:t>
            </w:r>
          </w:p>
        </w:tc>
        <w:tc>
          <w:tcPr>
            <w:tcW w:w="1417"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80.4</w:t>
            </w:r>
          </w:p>
        </w:tc>
        <w:tc>
          <w:tcPr>
            <w:tcW w:w="1560"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kern w:val="0"/>
                <w:sz w:val="22"/>
                <w:szCs w:val="22"/>
              </w:rPr>
            </w:pPr>
            <w:r>
              <w:rPr>
                <w:rFonts w:hint="eastAsia" w:ascii="仿宋_GB2312"/>
                <w:kern w:val="0"/>
                <w:sz w:val="22"/>
                <w:szCs w:val="22"/>
              </w:rPr>
              <w:t>2.3</w:t>
            </w:r>
          </w:p>
        </w:tc>
        <w:tc>
          <w:tcPr>
            <w:tcW w:w="1559" w:type="dxa"/>
            <w:tcBorders>
              <w:top w:val="nil"/>
              <w:left w:val="nil"/>
              <w:bottom w:val="single" w:color="auto" w:sz="4" w:space="0"/>
              <w:right w:val="single" w:color="auto" w:sz="4" w:space="0"/>
            </w:tcBorders>
            <w:noWrap/>
            <w:vAlign w:val="center"/>
          </w:tcPr>
          <w:p>
            <w:pPr>
              <w:widowControl/>
              <w:adjustRightInd w:val="0"/>
              <w:snapToGrid w:val="0"/>
              <w:ind w:firstLine="0" w:firstLineChars="0"/>
              <w:jc w:val="center"/>
              <w:rPr>
                <w:rFonts w:hint="eastAsia" w:ascii="仿宋_GB2312" w:hAnsi="宋体" w:cs="宋体"/>
                <w:kern w:val="0"/>
                <w:sz w:val="22"/>
                <w:szCs w:val="22"/>
              </w:rPr>
            </w:pPr>
            <w:r>
              <w:rPr>
                <w:rFonts w:hint="eastAsia" w:ascii="仿宋_GB2312" w:hAnsi="宋体" w:cs="宋体"/>
                <w:kern w:val="0"/>
                <w:sz w:val="22"/>
                <w:szCs w:val="22"/>
              </w:rPr>
              <w:t>1.01</w:t>
            </w:r>
          </w:p>
        </w:tc>
      </w:tr>
    </w:tbl>
    <w:p>
      <w:pPr>
        <w:ind w:firstLine="0" w:firstLineChars="0"/>
        <w:jc w:val="left"/>
        <w:rPr>
          <w:rFonts w:hint="eastAsia" w:cs="宋体"/>
          <w:b/>
          <w:bCs/>
          <w:kern w:val="0"/>
          <w:sz w:val="24"/>
          <w:szCs w:val="15"/>
        </w:rPr>
      </w:pPr>
      <w:r>
        <w:rPr>
          <w:rFonts w:hint="eastAsia" w:cs="宋体"/>
          <w:b/>
          <w:bCs/>
          <w:kern w:val="0"/>
          <w:sz w:val="24"/>
          <w:szCs w:val="15"/>
        </w:rPr>
        <w:t>备注：累计赛事奖励规模包含2023年针对园区载体的</w:t>
      </w:r>
      <w:r>
        <w:rPr>
          <w:rFonts w:cs="宋体"/>
          <w:b/>
          <w:bCs/>
          <w:kern w:val="0"/>
          <w:sz w:val="24"/>
          <w:szCs w:val="15"/>
        </w:rPr>
        <w:t>优秀组织奖</w:t>
      </w:r>
      <w:r>
        <w:rPr>
          <w:rFonts w:hint="eastAsia" w:cs="宋体"/>
          <w:b/>
          <w:bCs/>
          <w:kern w:val="0"/>
          <w:sz w:val="24"/>
          <w:szCs w:val="15"/>
        </w:rPr>
        <w:t>120万元。</w:t>
      </w:r>
    </w:p>
    <w:p>
      <w:pPr>
        <w:keepNext w:val="0"/>
        <w:keepLines w:val="0"/>
        <w:pageBreakBefore w:val="0"/>
        <w:widowControl w:val="0"/>
        <w:kinsoku/>
        <w:wordWrap/>
        <w:overflowPunct/>
        <w:topLinePunct w:val="0"/>
        <w:autoSpaceDE/>
        <w:autoSpaceDN/>
        <w:bidi w:val="0"/>
        <w:adjustRightInd/>
        <w:snapToGrid/>
        <w:spacing w:line="560" w:lineRule="exact"/>
        <w:textAlignment w:val="auto"/>
      </w:pPr>
      <w:r>
        <w:t>从数据来看，制造类硬科技赛道（半导体、机器人、新一代信息技术） 展现出极强的财政投入产出效率，是赛事引入项目的优质赛道；而生物医药、新材料、未来产业、生产性服务业的资金回报效率明显偏弱，尤其是生产性服务业，财政资金投入未形成有效税收贡献。</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半导体与集成电路产业：财政投入产出效率断层领先，以 190 万元的累计财政奖励，实现了 8269.8 万元的累计创税规模，投入产出比高达 43.53，是园区投入产出效率最高的产业赛道，资金撬动效应极强。</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 xml:space="preserve">机器人与智能装备制造产业：以 1465 万元的累计财政奖励，创造了 </w:t>
      </w:r>
      <w:r>
        <w:t>36443.5</w:t>
      </w:r>
      <w:r>
        <w:rPr>
          <w:rFonts w:hint="eastAsia"/>
        </w:rPr>
        <w:t xml:space="preserve"> 万元的累计创税规模，投入产出比为 24.95，不仅是创税总额最高的产业，同时也保持了极高的资金使用效率，是园区税收贡献的核心支柱产业。</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新一代信息技术与智能网联汽车产业：以 600 万元的财政奖励投入，实现了 6313.46 万元的累计创税，投入产出比为 10.52，资金使用效率处于中高水平，具备稳定的税收产出能力。</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生物医药与健康产业与</w:t>
      </w:r>
      <w:r>
        <w:t>新材料与新能源产业</w:t>
      </w:r>
      <w:r>
        <w:rPr>
          <w:rFonts w:hint="eastAsia"/>
        </w:rPr>
        <w:t>均属于产业研发周期长、前期投入大，税收贡献相对滞后，与其他制造类产业相比，短期财政资金回报效率偏低。</w:t>
      </w:r>
    </w:p>
    <w:p>
      <w:pPr>
        <w:keepNext w:val="0"/>
        <w:keepLines w:val="0"/>
        <w:pageBreakBefore w:val="0"/>
        <w:widowControl w:val="0"/>
        <w:kinsoku/>
        <w:wordWrap/>
        <w:overflowPunct/>
        <w:topLinePunct w:val="0"/>
        <w:autoSpaceDE/>
        <w:autoSpaceDN/>
        <w:bidi w:val="0"/>
        <w:adjustRightInd/>
        <w:snapToGrid/>
        <w:spacing w:line="560" w:lineRule="exact"/>
        <w:textAlignment w:val="auto"/>
        <w:rPr>
          <w:szCs w:val="36"/>
        </w:rPr>
      </w:pPr>
      <w:r>
        <w:rPr>
          <w:rFonts w:hint="eastAsia"/>
        </w:rPr>
        <w:t>此外未来产业受项目发展阶段限制，当前税收贡献规模较小，整体效率偏低，处于早期培育阶段；而生产性服务业：累计财政投入 350 万元，财政资金未形成有效税收贡献，资金撬动效应未体现。</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71" w:name="_Toc4477"/>
      <w:bookmarkStart w:id="72" w:name="_Toc18365"/>
      <w:bookmarkStart w:id="73" w:name="_Toc232169762"/>
      <w:r>
        <w:rPr>
          <w:rFonts w:hint="eastAsia"/>
          <w:b w:val="0"/>
          <w:bCs w:val="0"/>
          <w:kern w:val="0"/>
        </w:rPr>
        <w:t>（三）社会效益：</w:t>
      </w:r>
      <w:r>
        <w:rPr>
          <w:b w:val="0"/>
          <w:bCs w:val="0"/>
          <w:kern w:val="0"/>
        </w:rPr>
        <w:t>就业带动成效显著，科创人才集聚优势明显</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按照现存项目，项目社会效益较为突出。从新增就业来看，</w:t>
      </w:r>
      <w:r>
        <w:t>截止到2025年，</w:t>
      </w:r>
      <w:r>
        <w:rPr>
          <w:rFonts w:hint="eastAsia"/>
        </w:rPr>
        <w:t>新增就业岗位</w:t>
      </w:r>
      <w:r>
        <w:t>2937</w:t>
      </w:r>
      <w:r>
        <w:rPr>
          <w:rFonts w:hint="eastAsia"/>
        </w:rPr>
        <w:t>人，其中科技人员数量为880人，占比29.96%。</w:t>
      </w:r>
      <w:r>
        <w:t>整体就业结构呈现明显的 “科创导向”，说明创赛引入项目不仅能创造岗位，更能带动高技能、高学历人才集聚，助力园区人才结构升级。</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此外，就具体产业而言，机器人与智能装备制造产业新增就业岗位达 1200 个，占全部新增岗位的 41.2%，是创赛引入项目中就业贡献最大的产业，充分体现了该赛道作为松山湖支柱产业的规模化带动效应。</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新一代信息技术与智能网联汽车、半导体与集成电路、生物医药与健康产业的新增就业均在 400 个以上，是就业带动的第二梯队，构成了园区科创就业的核心支撑，详见下表。</w:t>
      </w:r>
    </w:p>
    <w:p>
      <w:pPr>
        <w:ind w:firstLine="560"/>
        <w:jc w:val="center"/>
        <w:rPr>
          <w:sz w:val="24"/>
          <w:szCs w:val="24"/>
        </w:rPr>
      </w:pPr>
      <w:r>
        <w:rPr>
          <w:rFonts w:hint="eastAsia" w:eastAsia="黑体"/>
          <w:sz w:val="28"/>
          <w:szCs w:val="28"/>
        </w:rPr>
        <w:t>表3-5 创赛引入项目新增就业情况</w:t>
      </w:r>
    </w:p>
    <w:tbl>
      <w:tblPr>
        <w:tblStyle w:val="24"/>
        <w:tblW w:w="9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520"/>
        <w:gridCol w:w="1760"/>
        <w:gridCol w:w="1280"/>
        <w:gridCol w:w="1268"/>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645" w:type="dxa"/>
            <w:noWrap/>
            <w:vAlign w:val="center"/>
          </w:tcPr>
          <w:p>
            <w:pPr>
              <w:widowControl/>
              <w:adjustRightInd w:val="0"/>
              <w:ind w:firstLine="0" w:firstLineChars="0"/>
              <w:jc w:val="center"/>
              <w:rPr>
                <w:rFonts w:cs="宋体"/>
                <w:b/>
                <w:bCs/>
                <w:kern w:val="0"/>
                <w:sz w:val="24"/>
                <w:szCs w:val="15"/>
              </w:rPr>
            </w:pPr>
            <w:bookmarkStart w:id="74" w:name="OLE_LINK2"/>
            <w:r>
              <w:rPr>
                <w:rFonts w:cs="宋体"/>
                <w:b/>
                <w:bCs/>
                <w:kern w:val="0"/>
                <w:sz w:val="24"/>
                <w:szCs w:val="15"/>
              </w:rPr>
              <w:t>序号</w:t>
            </w:r>
          </w:p>
        </w:tc>
        <w:tc>
          <w:tcPr>
            <w:tcW w:w="3520" w:type="dxa"/>
            <w:vAlign w:val="center"/>
          </w:tcPr>
          <w:p>
            <w:pPr>
              <w:widowControl/>
              <w:adjustRightInd w:val="0"/>
              <w:ind w:firstLine="0" w:firstLineChars="0"/>
              <w:jc w:val="center"/>
              <w:rPr>
                <w:rFonts w:cs="宋体"/>
                <w:b/>
                <w:bCs/>
                <w:kern w:val="0"/>
                <w:sz w:val="24"/>
                <w:szCs w:val="15"/>
              </w:rPr>
            </w:pPr>
            <w:r>
              <w:rPr>
                <w:rFonts w:cs="宋体"/>
                <w:b/>
                <w:bCs/>
                <w:kern w:val="0"/>
                <w:sz w:val="24"/>
                <w:szCs w:val="15"/>
              </w:rPr>
              <w:t>产业方向</w:t>
            </w:r>
          </w:p>
        </w:tc>
        <w:tc>
          <w:tcPr>
            <w:tcW w:w="1760"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新增就业岗位数量</w:t>
            </w:r>
          </w:p>
        </w:tc>
        <w:tc>
          <w:tcPr>
            <w:tcW w:w="1280" w:type="dxa"/>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岗位数量占比</w:t>
            </w:r>
          </w:p>
        </w:tc>
        <w:tc>
          <w:tcPr>
            <w:tcW w:w="1268"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科技人员数量</w:t>
            </w:r>
          </w:p>
        </w:tc>
        <w:tc>
          <w:tcPr>
            <w:tcW w:w="1282"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科技人员比例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1</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新一代信息技术与智能网联汽车</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439</w:t>
            </w:r>
          </w:p>
        </w:tc>
        <w:tc>
          <w:tcPr>
            <w:tcW w:w="1280"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14.95</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141</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2</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机器人与智能装备制造</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1200</w:t>
            </w:r>
          </w:p>
        </w:tc>
        <w:tc>
          <w:tcPr>
            <w:tcW w:w="1280"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40.86</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373</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3</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半导体与集成电路</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456</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15.</w:t>
            </w:r>
            <w:r>
              <w:rPr>
                <w:rFonts w:hint="eastAsia" w:cs="宋体"/>
                <w:kern w:val="0"/>
                <w:sz w:val="24"/>
                <w:szCs w:val="15"/>
              </w:rPr>
              <w:t>53</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84</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18.42%</w:t>
            </w:r>
          </w:p>
          <w:p>
            <w:pPr>
              <w:ind w:firstLine="0" w:firstLineChars="0"/>
              <w:rPr>
                <w:rFonts w:cs="宋体"/>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4</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生物医药与健康</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456</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15.</w:t>
            </w:r>
            <w:r>
              <w:rPr>
                <w:rFonts w:hint="eastAsia" w:cs="宋体"/>
                <w:kern w:val="0"/>
                <w:sz w:val="24"/>
                <w:szCs w:val="15"/>
              </w:rPr>
              <w:t>53</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128</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5</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新材料与新能源</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306</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10.</w:t>
            </w:r>
            <w:r>
              <w:rPr>
                <w:rFonts w:hint="eastAsia" w:cs="宋体"/>
                <w:kern w:val="0"/>
                <w:sz w:val="24"/>
                <w:szCs w:val="15"/>
              </w:rPr>
              <w:t>42</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122</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6</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生产性服务业</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52</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1.</w:t>
            </w:r>
            <w:r>
              <w:rPr>
                <w:rFonts w:hint="eastAsia" w:cs="宋体"/>
                <w:kern w:val="0"/>
                <w:sz w:val="24"/>
                <w:szCs w:val="15"/>
              </w:rPr>
              <w:t>77</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15</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5" w:type="dxa"/>
            <w:noWrap/>
            <w:vAlign w:val="center"/>
          </w:tcPr>
          <w:p>
            <w:pPr>
              <w:widowControl/>
              <w:adjustRightInd w:val="0"/>
              <w:ind w:firstLine="0" w:firstLineChars="0"/>
              <w:jc w:val="center"/>
              <w:rPr>
                <w:rFonts w:cs="宋体"/>
                <w:kern w:val="0"/>
                <w:sz w:val="24"/>
                <w:szCs w:val="15"/>
              </w:rPr>
            </w:pPr>
            <w:r>
              <w:rPr>
                <w:rFonts w:cs="宋体"/>
                <w:kern w:val="0"/>
                <w:sz w:val="24"/>
                <w:szCs w:val="15"/>
              </w:rPr>
              <w:t>7</w:t>
            </w:r>
          </w:p>
        </w:tc>
        <w:tc>
          <w:tcPr>
            <w:tcW w:w="3520"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未来产业</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28</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0.9</w:t>
            </w:r>
            <w:r>
              <w:rPr>
                <w:rFonts w:hint="eastAsia" w:cs="宋体"/>
                <w:kern w:val="0"/>
                <w:sz w:val="24"/>
                <w:szCs w:val="15"/>
              </w:rPr>
              <w:t>5</w:t>
            </w:r>
            <w:r>
              <w:rPr>
                <w:rFonts w:cs="宋体"/>
                <w:kern w:val="0"/>
                <w:sz w:val="24"/>
                <w:szCs w:val="15"/>
              </w:rPr>
              <w:t>%</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17</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60.71%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165" w:type="dxa"/>
            <w:gridSpan w:val="2"/>
            <w:noWrap/>
            <w:vAlign w:val="center"/>
          </w:tcPr>
          <w:p>
            <w:pPr>
              <w:widowControl/>
              <w:adjustRightInd w:val="0"/>
              <w:ind w:firstLine="0" w:firstLineChars="0"/>
              <w:jc w:val="center"/>
              <w:rPr>
                <w:rFonts w:cs="宋体"/>
                <w:color w:val="000000"/>
                <w:kern w:val="0"/>
                <w:sz w:val="24"/>
                <w:szCs w:val="15"/>
              </w:rPr>
            </w:pPr>
            <w:r>
              <w:rPr>
                <w:rFonts w:hint="eastAsia" w:cs="宋体"/>
                <w:color w:val="000000"/>
                <w:kern w:val="0"/>
                <w:sz w:val="24"/>
                <w:szCs w:val="15"/>
              </w:rPr>
              <w:t>小计</w:t>
            </w:r>
          </w:p>
        </w:tc>
        <w:tc>
          <w:tcPr>
            <w:tcW w:w="1760"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2937</w:t>
            </w:r>
          </w:p>
        </w:tc>
        <w:tc>
          <w:tcPr>
            <w:tcW w:w="1280" w:type="dxa"/>
            <w:vAlign w:val="center"/>
          </w:tcPr>
          <w:p>
            <w:pPr>
              <w:widowControl/>
              <w:adjustRightInd w:val="0"/>
              <w:ind w:firstLine="0" w:firstLineChars="0"/>
              <w:jc w:val="center"/>
              <w:rPr>
                <w:rFonts w:cs="宋体"/>
                <w:kern w:val="0"/>
                <w:sz w:val="24"/>
                <w:szCs w:val="15"/>
              </w:rPr>
            </w:pPr>
            <w:r>
              <w:rPr>
                <w:rFonts w:cs="宋体"/>
                <w:kern w:val="0"/>
                <w:sz w:val="24"/>
                <w:szCs w:val="15"/>
              </w:rPr>
              <w:t>100.00%</w:t>
            </w:r>
          </w:p>
        </w:tc>
        <w:tc>
          <w:tcPr>
            <w:tcW w:w="126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880</w:t>
            </w:r>
          </w:p>
        </w:tc>
        <w:tc>
          <w:tcPr>
            <w:tcW w:w="1282"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29.96%</w:t>
            </w:r>
          </w:p>
        </w:tc>
      </w:tr>
      <w:bookmarkEnd w:id="74"/>
    </w:tbl>
    <w:p>
      <w:pPr>
        <w:pStyle w:val="2"/>
        <w:keepNext w:val="0"/>
        <w:keepLines w:val="0"/>
        <w:pageBreakBefore w:val="0"/>
        <w:widowControl w:val="0"/>
        <w:tabs>
          <w:tab w:val="left" w:pos="5048"/>
        </w:tabs>
        <w:kinsoku/>
        <w:wordWrap/>
        <w:overflowPunct/>
        <w:topLinePunct w:val="0"/>
        <w:autoSpaceDE/>
        <w:autoSpaceDN/>
        <w:bidi w:val="0"/>
        <w:adjustRightInd/>
        <w:snapToGrid/>
        <w:spacing w:line="560" w:lineRule="exact"/>
        <w:ind w:firstLine="640"/>
        <w:textAlignment w:val="auto"/>
      </w:pPr>
      <w:bookmarkStart w:id="75" w:name="_Toc23692"/>
      <w:bookmarkStart w:id="76" w:name="_Toc29782"/>
      <w:bookmarkStart w:id="77" w:name="_Toc232169763"/>
      <w:r>
        <w:rPr>
          <w:rFonts w:hint="eastAsia"/>
        </w:rPr>
        <w:t>四、主要问题</w:t>
      </w:r>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创赛虽然已经取得了一定成效，但是回顾赛事举办过程，仍有完善空间，包括部分项目效益未兑现，</w:t>
      </w:r>
      <w:r>
        <w:t>项目培育政策体系不完善，赛事品牌宣传体系不清晰，奖励资金兑付效率不足，预算编制精细化程度不足</w:t>
      </w:r>
      <w:r>
        <w:rPr>
          <w:rFonts w:hint="eastAsia"/>
        </w:rPr>
        <w:t>等不足，具体如下：</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78" w:name="_Toc232169764"/>
      <w:bookmarkStart w:id="79" w:name="_Toc7368"/>
      <w:bookmarkStart w:id="80" w:name="_Toc9885"/>
      <w:r>
        <w:rPr>
          <w:rFonts w:hint="eastAsia"/>
          <w:b w:val="0"/>
          <w:bCs w:val="0"/>
          <w:kern w:val="0"/>
        </w:rPr>
        <w:t>（一）</w:t>
      </w:r>
      <w:bookmarkStart w:id="81" w:name="_Hlk231972699"/>
      <w:bookmarkStart w:id="82" w:name="_Hlk231829643"/>
      <w:r>
        <w:rPr>
          <w:rFonts w:hint="eastAsia"/>
          <w:b w:val="0"/>
          <w:bCs w:val="0"/>
        </w:rPr>
        <w:t>预算管理机制有待完善、预算规模有待压减、部分财政奖补资金闲置</w:t>
      </w:r>
      <w:bookmarkEnd w:id="81"/>
      <w:r>
        <w:rPr>
          <w:rFonts w:hint="eastAsia"/>
          <w:b w:val="0"/>
          <w:bCs w:val="0"/>
        </w:rPr>
        <w:t>、奖励兑现时效性有待提升</w:t>
      </w:r>
      <w:bookmarkEnd w:id="78"/>
      <w:bookmarkEnd w:id="79"/>
      <w:bookmarkEnd w:id="80"/>
    </w:p>
    <w:bookmarkEnd w:id="82"/>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一是项目预算规模有待压减，“过紧日子”的导向有待进一步强化。</w:t>
      </w:r>
      <w:r>
        <w:rPr>
          <w:rFonts w:hint="eastAsia"/>
        </w:rPr>
        <w:t>本项目作为常设项目，自2015年以来已经走过10个年头，</w:t>
      </w:r>
      <w:r>
        <w:t>属于常态化、成熟化的年度固定赛事，已形成</w:t>
      </w:r>
      <w:r>
        <w:rPr>
          <w:rFonts w:hint="eastAsia"/>
        </w:rPr>
        <w:t>相对</w:t>
      </w:r>
      <w:r>
        <w:t>完善的执行流程、宣传渠道、合作资源、服务体系、素材库与工作经验，</w:t>
      </w:r>
      <w:r>
        <w:rPr>
          <w:rFonts w:hint="eastAsia"/>
          <w:b/>
          <w:bCs/>
        </w:rPr>
        <w:t>因此部分预算明细无需每年按全新赛事标准全额、足额投入，</w:t>
      </w:r>
      <w:r>
        <w:rPr>
          <w:rFonts w:hint="eastAsia"/>
        </w:rPr>
        <w:t>但本项目的实际预算编制执行未结合往年的工作基础优化预算编制</w:t>
      </w:r>
      <w:r>
        <w:t>。</w:t>
      </w:r>
      <w:r>
        <w:rPr>
          <w:rFonts w:hint="eastAsia"/>
        </w:rPr>
        <w:t>以2025年预算编制明细为例，相比2024年，</w:t>
      </w:r>
      <w:r>
        <w:t>策划执行费不降反增加</w:t>
      </w:r>
      <w:r>
        <w:rPr>
          <w:rFonts w:hint="eastAsia"/>
        </w:rPr>
        <w:t>，</w:t>
      </w:r>
      <w:r>
        <w:t>项目征集、发动报名、辅导费、宣讲费</w:t>
      </w:r>
      <w:r>
        <w:rPr>
          <w:rFonts w:hint="eastAsia"/>
        </w:rPr>
        <w:t>等费用保持不变，未体现优化导向；同时，20</w:t>
      </w:r>
      <w:r>
        <w:t>25 年新增</w:t>
      </w:r>
      <w:r>
        <w:rPr>
          <w:rFonts w:hint="eastAsia"/>
        </w:rPr>
        <w:t>“</w:t>
      </w:r>
      <w:r>
        <w:t>赛后落地服务、往届报告编制、微电影制作、宣传物料、媒体投放</w:t>
      </w:r>
      <w:r>
        <w:rPr>
          <w:rFonts w:hint="eastAsia"/>
        </w:rPr>
        <w:t>”</w:t>
      </w:r>
      <w:r>
        <w:t xml:space="preserve"> 5 项费用</w:t>
      </w:r>
      <w:r>
        <w:rPr>
          <w:rFonts w:hint="eastAsia"/>
        </w:rPr>
        <w:t>，实际该5项费用均属于部门职能，且既然往年未在项目预算内体现但同时开展了相关工作，实际作为项目的新增预算合理性不足，详见下表。</w:t>
      </w:r>
    </w:p>
    <w:p>
      <w:pPr>
        <w:ind w:firstLine="560"/>
        <w:jc w:val="center"/>
        <w:rPr>
          <w:rFonts w:eastAsia="黑体"/>
          <w:sz w:val="28"/>
          <w:szCs w:val="28"/>
        </w:rPr>
      </w:pPr>
      <w:r>
        <w:rPr>
          <w:rFonts w:hint="eastAsia" w:eastAsia="黑体"/>
          <w:sz w:val="28"/>
          <w:szCs w:val="28"/>
        </w:rPr>
        <w:t>表</w:t>
      </w:r>
      <w:r>
        <w:rPr>
          <w:rFonts w:eastAsia="黑体"/>
          <w:sz w:val="28"/>
          <w:szCs w:val="28"/>
        </w:rPr>
        <w:t>4-</w:t>
      </w:r>
      <w:r>
        <w:rPr>
          <w:rFonts w:hint="eastAsia" w:eastAsia="黑体"/>
          <w:sz w:val="28"/>
          <w:szCs w:val="28"/>
        </w:rPr>
        <w:t>1</w:t>
      </w:r>
      <w:r>
        <w:rPr>
          <w:rFonts w:eastAsia="黑体"/>
          <w:sz w:val="28"/>
          <w:szCs w:val="28"/>
        </w:rPr>
        <w:t xml:space="preserve"> </w:t>
      </w:r>
      <w:r>
        <w:rPr>
          <w:rFonts w:hint="eastAsia" w:eastAsia="黑体"/>
          <w:sz w:val="28"/>
          <w:szCs w:val="28"/>
        </w:rPr>
        <w:t>20</w:t>
      </w:r>
      <w:r>
        <w:rPr>
          <w:rFonts w:eastAsia="黑体"/>
          <w:sz w:val="28"/>
          <w:szCs w:val="28"/>
        </w:rPr>
        <w:t>24</w:t>
      </w:r>
      <w:r>
        <w:rPr>
          <w:rFonts w:hint="eastAsia" w:eastAsia="黑体"/>
          <w:sz w:val="28"/>
          <w:szCs w:val="28"/>
        </w:rPr>
        <w:t>年</w:t>
      </w:r>
      <w:r>
        <w:rPr>
          <w:rFonts w:eastAsia="黑体"/>
          <w:sz w:val="28"/>
          <w:szCs w:val="28"/>
        </w:rPr>
        <w:t>-</w:t>
      </w:r>
      <w:r>
        <w:rPr>
          <w:rFonts w:hint="eastAsia" w:eastAsia="黑体"/>
          <w:sz w:val="28"/>
          <w:szCs w:val="28"/>
        </w:rPr>
        <w:t>20</w:t>
      </w:r>
      <w:r>
        <w:rPr>
          <w:rFonts w:eastAsia="黑体"/>
          <w:sz w:val="28"/>
          <w:szCs w:val="28"/>
        </w:rPr>
        <w:t>25</w:t>
      </w:r>
      <w:r>
        <w:rPr>
          <w:rFonts w:hint="eastAsia" w:eastAsia="黑体"/>
          <w:sz w:val="28"/>
          <w:szCs w:val="28"/>
        </w:rPr>
        <w:t>年预算编制明细对比（万元）</w:t>
      </w:r>
    </w:p>
    <w:tbl>
      <w:tblPr>
        <w:tblStyle w:val="24"/>
        <w:tblW w:w="9073" w:type="dxa"/>
        <w:jc w:val="center"/>
        <w:tblLayout w:type="autofit"/>
        <w:tblCellMar>
          <w:top w:w="0" w:type="dxa"/>
          <w:left w:w="108" w:type="dxa"/>
          <w:bottom w:w="0" w:type="dxa"/>
          <w:right w:w="108" w:type="dxa"/>
        </w:tblCellMar>
      </w:tblPr>
      <w:tblGrid>
        <w:gridCol w:w="846"/>
        <w:gridCol w:w="2989"/>
        <w:gridCol w:w="1760"/>
        <w:gridCol w:w="1919"/>
        <w:gridCol w:w="1559"/>
      </w:tblGrid>
      <w:tr>
        <w:tblPrEx>
          <w:tblCellMar>
            <w:top w:w="0" w:type="dxa"/>
            <w:left w:w="108" w:type="dxa"/>
            <w:bottom w:w="0" w:type="dxa"/>
            <w:right w:w="108" w:type="dxa"/>
          </w:tblCellMar>
        </w:tblPrEx>
        <w:trPr>
          <w:trHeight w:val="276" w:hRule="atLeast"/>
          <w:tblHeader/>
          <w:jc w:val="center"/>
        </w:trPr>
        <w:tc>
          <w:tcPr>
            <w:tcW w:w="846"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序号</w:t>
            </w:r>
          </w:p>
        </w:tc>
        <w:tc>
          <w:tcPr>
            <w:tcW w:w="2989" w:type="dxa"/>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预算明细项目</w:t>
            </w:r>
          </w:p>
        </w:tc>
        <w:tc>
          <w:tcPr>
            <w:tcW w:w="1760"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 xml:space="preserve">2024 </w:t>
            </w:r>
            <w:r>
              <w:rPr>
                <w:rFonts w:hint="eastAsia" w:cs="宋体"/>
                <w:b/>
                <w:bCs/>
                <w:color w:val="000000"/>
                <w:kern w:val="0"/>
                <w:sz w:val="24"/>
                <w:szCs w:val="24"/>
              </w:rPr>
              <w:t>年</w:t>
            </w:r>
          </w:p>
          <w:p>
            <w:pPr>
              <w:widowControl/>
              <w:ind w:firstLine="0" w:firstLineChars="0"/>
              <w:jc w:val="center"/>
              <w:rPr>
                <w:rFonts w:cs="宋体"/>
                <w:b/>
                <w:bCs/>
                <w:color w:val="000000"/>
                <w:kern w:val="0"/>
                <w:sz w:val="24"/>
                <w:szCs w:val="24"/>
              </w:rPr>
            </w:pPr>
            <w:r>
              <w:rPr>
                <w:rFonts w:hint="eastAsia" w:cs="宋体"/>
                <w:b/>
                <w:bCs/>
                <w:color w:val="000000"/>
                <w:kern w:val="0"/>
                <w:sz w:val="24"/>
                <w:szCs w:val="24"/>
              </w:rPr>
              <w:t>预算明细金额</w:t>
            </w:r>
          </w:p>
        </w:tc>
        <w:tc>
          <w:tcPr>
            <w:tcW w:w="1919"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cs="宋体"/>
                <w:b/>
                <w:bCs/>
                <w:color w:val="000000"/>
                <w:kern w:val="0"/>
                <w:sz w:val="24"/>
                <w:szCs w:val="24"/>
              </w:rPr>
              <w:t xml:space="preserve">2025 </w:t>
            </w:r>
            <w:r>
              <w:rPr>
                <w:rFonts w:hint="eastAsia" w:cs="宋体"/>
                <w:b/>
                <w:bCs/>
                <w:color w:val="000000"/>
                <w:kern w:val="0"/>
                <w:sz w:val="24"/>
                <w:szCs w:val="24"/>
              </w:rPr>
              <w:t>年</w:t>
            </w:r>
          </w:p>
          <w:p>
            <w:pPr>
              <w:widowControl/>
              <w:ind w:firstLine="0" w:firstLineChars="0"/>
              <w:jc w:val="center"/>
              <w:rPr>
                <w:rFonts w:cs="宋体"/>
                <w:b/>
                <w:bCs/>
                <w:color w:val="000000"/>
                <w:kern w:val="0"/>
                <w:sz w:val="24"/>
                <w:szCs w:val="24"/>
              </w:rPr>
            </w:pPr>
            <w:r>
              <w:rPr>
                <w:rFonts w:hint="eastAsia" w:cs="宋体"/>
                <w:b/>
                <w:bCs/>
                <w:color w:val="000000"/>
                <w:kern w:val="0"/>
                <w:sz w:val="24"/>
                <w:szCs w:val="24"/>
              </w:rPr>
              <w:t>预算明细金额</w:t>
            </w:r>
          </w:p>
        </w:tc>
        <w:tc>
          <w:tcPr>
            <w:tcW w:w="1559"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金额变动</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策划、执行费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13</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7</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启动仪式场地租赁、布置、设备租赁费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30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15</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-15</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3</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启动仪式人员劳务及接待、差旅费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4</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项目征集、发动报名、辅导费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5</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分赛辅导、协办费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13</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取消</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6</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半决赛场地、设备、物料费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取消</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7</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半决赛评审费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取消</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半决赛人员劳务及接待费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取消</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9</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培训营场地、设备、物料费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培训营专家、劳务及接待费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11</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多场初赛</w:t>
            </w:r>
            <w:r>
              <w:rPr>
                <w:rFonts w:cs="宋体"/>
                <w:color w:val="000000"/>
                <w:kern w:val="0"/>
                <w:sz w:val="24"/>
                <w:szCs w:val="24"/>
              </w:rPr>
              <w:t xml:space="preserve"> / </w:t>
            </w:r>
            <w:r>
              <w:rPr>
                <w:rFonts w:hint="eastAsia" w:cs="宋体"/>
                <w:color w:val="000000"/>
                <w:kern w:val="0"/>
                <w:sz w:val="24"/>
                <w:szCs w:val="24"/>
              </w:rPr>
              <w:t>专场赛整体费用</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72</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66</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-6</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12</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总决赛及颁奖典礼场地、设备租赁费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40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17</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-23</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13</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总决赛评审费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0</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14</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总决赛及颁奖典礼劳务、接待费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15</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报名系统开发维护费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r>
      <w:tr>
        <w:tblPrEx>
          <w:tblCellMar>
            <w:top w:w="0" w:type="dxa"/>
            <w:left w:w="108" w:type="dxa"/>
            <w:bottom w:w="0" w:type="dxa"/>
            <w:right w:w="108" w:type="dxa"/>
          </w:tblCellMar>
        </w:tblPrEx>
        <w:trPr>
          <w:trHeight w:val="552"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16</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往届赛事项目情况报告编制费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8</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新增科目</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17</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微电影拍摄制作费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新增科目</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18</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宣传资料设计制作费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5</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新增科目</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19</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全程跟踪报道、稿件投放费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新增科目</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赛后落地跟进服务费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15</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新增科目</w:t>
            </w:r>
          </w:p>
        </w:tc>
      </w:tr>
      <w:tr>
        <w:tblPrEx>
          <w:tblCellMar>
            <w:top w:w="0" w:type="dxa"/>
            <w:left w:w="108" w:type="dxa"/>
            <w:bottom w:w="0" w:type="dxa"/>
            <w:right w:w="108" w:type="dxa"/>
          </w:tblCellMar>
        </w:tblPrEx>
        <w:trPr>
          <w:trHeight w:val="276"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21</w:t>
            </w:r>
          </w:p>
        </w:tc>
        <w:tc>
          <w:tcPr>
            <w:tcW w:w="2989" w:type="dxa"/>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税费等其他费</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22.4</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20</w:t>
            </w:r>
          </w:p>
        </w:tc>
        <w:tc>
          <w:tcPr>
            <w:tcW w:w="155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-2.4</w:t>
            </w:r>
          </w:p>
        </w:tc>
      </w:tr>
      <w:tr>
        <w:tblPrEx>
          <w:tblCellMar>
            <w:top w:w="0" w:type="dxa"/>
            <w:left w:w="108" w:type="dxa"/>
            <w:bottom w:w="0" w:type="dxa"/>
            <w:right w:w="108" w:type="dxa"/>
          </w:tblCellMar>
        </w:tblPrEx>
        <w:trPr>
          <w:trHeight w:val="276" w:hRule="atLeast"/>
          <w:jc w:val="center"/>
        </w:trPr>
        <w:tc>
          <w:tcPr>
            <w:tcW w:w="3835" w:type="dxa"/>
            <w:gridSpan w:val="2"/>
            <w:tcBorders>
              <w:top w:val="single" w:color="auto" w:sz="4" w:space="0"/>
              <w:left w:val="single" w:color="auto" w:sz="4" w:space="0"/>
              <w:bottom w:val="single" w:color="auto" w:sz="4" w:space="0"/>
              <w:right w:val="single" w:color="000000" w:sz="4" w:space="0"/>
            </w:tcBorders>
            <w:noWrap/>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小计</w:t>
            </w:r>
          </w:p>
        </w:tc>
        <w:tc>
          <w:tcPr>
            <w:tcW w:w="1760"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302.4</w:t>
            </w:r>
          </w:p>
        </w:tc>
        <w:tc>
          <w:tcPr>
            <w:tcW w:w="1919" w:type="dxa"/>
            <w:tcBorders>
              <w:top w:val="nil"/>
              <w:left w:val="nil"/>
              <w:bottom w:val="single" w:color="auto" w:sz="4" w:space="0"/>
              <w:right w:val="single" w:color="auto" w:sz="4" w:space="0"/>
            </w:tcBorders>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260</w:t>
            </w:r>
          </w:p>
        </w:tc>
        <w:tc>
          <w:tcPr>
            <w:tcW w:w="1559" w:type="dxa"/>
            <w:tcBorders>
              <w:top w:val="nil"/>
              <w:left w:val="nil"/>
              <w:bottom w:val="single" w:color="auto" w:sz="4" w:space="0"/>
              <w:right w:val="single" w:color="auto" w:sz="4" w:space="0"/>
            </w:tcBorders>
            <w:noWrap/>
            <w:vAlign w:val="center"/>
          </w:tcPr>
          <w:p>
            <w:pPr>
              <w:widowControl/>
              <w:ind w:firstLine="0" w:firstLineChars="0"/>
              <w:jc w:val="left"/>
              <w:rPr>
                <w:rFonts w:cs="宋体"/>
                <w:color w:val="000000"/>
                <w:kern w:val="0"/>
                <w:sz w:val="24"/>
                <w:szCs w:val="24"/>
              </w:rPr>
            </w:pPr>
            <w:r>
              <w:rPr>
                <w:rFonts w:hint="eastAsia" w:cs="宋体"/>
                <w:color w:val="000000"/>
                <w:kern w:val="0"/>
                <w:sz w:val="24"/>
                <w:szCs w:val="24"/>
              </w:rPr>
              <w:t>　</w:t>
            </w:r>
          </w:p>
        </w:tc>
      </w:tr>
    </w:tbl>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二是预算编制科学性有待提高，财政奖补资金闲置。</w:t>
      </w:r>
      <w:r>
        <w:rPr>
          <w:rFonts w:hint="eastAsia"/>
        </w:rPr>
        <w:t>从近三年来预算编制过程来看，项目的预算编制资金是按照工作方案中的获奖项目全部落地且当年支付完毕的理想状态下编制，并获得了批复，这也是大赛奖励机制能够充分兑现的保障。但是从实际执行来看，各年度实际支出资金并未“满员”，即获奖项目并未全部落地，因此也造成了一定财政资金的闲置。如2024年“</w:t>
      </w:r>
      <w:r>
        <w:t>先锋奖60强项目落地奖金</w:t>
      </w:r>
      <w:r>
        <w:rPr>
          <w:rFonts w:hint="eastAsia"/>
        </w:rPr>
        <w:t>”预算共计300万元，匹配60个奖项，单个奖金5万元予以奖励，实际支出215万元，预算执行率为71.67%。同样，2025年的“80强先锋奖”项目落地奖励预算安排800万元，匹配80个奖项，单个奖金10万元予以奖励，虽然资金尚未支付，但因为实际落地项目共计62个，因此实际预算安排也会出现较大冗余。即赛事举办单位目前完全未结合历年来的实际落地经验数据编制预算，造成预算编制不够准确。</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3"/>
        <w:textAlignment w:val="auto"/>
        <w:rPr>
          <w:rFonts w:cs="仿宋_GB2312"/>
        </w:rPr>
      </w:pPr>
      <w:r>
        <w:rPr>
          <w:rFonts w:hint="eastAsia" w:cs="仿宋_GB2312"/>
          <w:b/>
          <w:bCs/>
          <w:kern w:val="0"/>
        </w:rPr>
        <w:t>三是</w:t>
      </w:r>
      <w:r>
        <w:rPr>
          <w:rFonts w:hint="eastAsia"/>
          <w:b/>
          <w:bCs/>
        </w:rPr>
        <w:t>个别奖项的兑付和执行速度偏慢，不利于支持引入项目的发展。</w:t>
      </w:r>
      <w:r>
        <w:rPr>
          <w:rFonts w:hint="eastAsia" w:cs="仿宋_GB2312"/>
        </w:rPr>
        <w:t>大赛的性质决定了其引入的项目一般都是小微项目，因此对于很多项目而言，其经营压力较大，现金流普遍紧张。大赛的奖励资金对于很多项目的经营而言，也有一定的缓冲作用。但是现阶段，通过观察近3年的大赛的奖励兑现情况，个别奖项的兑付和执行速度偏慢，不利于支持引入项目的发展。例如，</w:t>
      </w:r>
      <w:r>
        <w:rPr>
          <w:rFonts w:cs="仿宋_GB2312"/>
        </w:rPr>
        <w:t>2023</w:t>
      </w:r>
      <w:r>
        <w:rPr>
          <w:rFonts w:hint="eastAsia" w:cs="仿宋_GB2312"/>
        </w:rPr>
        <w:t>年参加创赛的项目申报的落户租金补贴，对落户项目第二年（2025年度）的租金进行补贴，截至评价期间，仍处于勘察过程中，实际兑付资金过程较为缓慢，不利于发挥奖补资金对落户项目发展的时效性；再如，截至评价阶段，2025年的优秀青年创业奖、优秀港澳创业奖、“80强先锋奖”项目落地奖励等奖项，目前仍在考察过程中尚未兑付，大赛引入项目</w:t>
      </w:r>
      <w:r>
        <w:rPr>
          <w:rFonts w:hint="eastAsia" w:cs="仿宋_GB2312"/>
          <w:kern w:val="0"/>
        </w:rPr>
        <w:t>奖励兑付时效性有待提升</w:t>
      </w:r>
      <w:r>
        <w:rPr>
          <w:rFonts w:hint="eastAsia" w:cs="仿宋_GB2312"/>
        </w:rPr>
        <w:t>。</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83" w:name="_Toc232169765"/>
      <w:bookmarkStart w:id="84" w:name="_Toc13508"/>
      <w:bookmarkStart w:id="85" w:name="_Toc2121"/>
      <w:r>
        <w:rPr>
          <w:rFonts w:hint="eastAsia"/>
          <w:b w:val="0"/>
          <w:bCs w:val="0"/>
          <w:kern w:val="0"/>
        </w:rPr>
        <w:t>（二）</w:t>
      </w:r>
      <w:bookmarkStart w:id="86" w:name="_Hlk231829589"/>
      <w:r>
        <w:rPr>
          <w:rFonts w:hint="eastAsia"/>
          <w:b w:val="0"/>
          <w:bCs w:val="0"/>
          <w:kern w:val="0"/>
        </w:rPr>
        <w:t>部分项目效益未有效转化，项目补贴方式、</w:t>
      </w:r>
      <w:r>
        <w:rPr>
          <w:rFonts w:hint="eastAsia"/>
          <w:b w:val="0"/>
          <w:bCs w:val="0"/>
        </w:rPr>
        <w:t>培育支撑体系</w:t>
      </w:r>
      <w:r>
        <w:rPr>
          <w:rFonts w:hint="eastAsia"/>
          <w:b w:val="0"/>
          <w:bCs w:val="0"/>
          <w:kern w:val="0"/>
        </w:rPr>
        <w:t>有待完善</w:t>
      </w:r>
      <w:bookmarkEnd w:id="83"/>
      <w:bookmarkEnd w:id="84"/>
      <w:bookmarkEnd w:id="85"/>
      <w:bookmarkEnd w:id="86"/>
      <w:r>
        <w:rPr>
          <w:b w:val="0"/>
          <w:bCs w:val="0"/>
          <w:kern w:val="0"/>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b/>
          <w:bCs/>
        </w:rPr>
      </w:pPr>
      <w:r>
        <w:rPr>
          <w:rFonts w:hint="eastAsia"/>
          <w:b/>
          <w:bCs/>
        </w:rPr>
        <w:t>1.创赛举办以来，存在部分项目未成功或流失。</w:t>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单个创业项目或者团队能否创业成功具有一定的概率性，所以当批量引入项目后，也就必然存在部分项目发展不理想。</w:t>
      </w:r>
      <w:r>
        <w:t>自创赛2015年举办首届以来历经11年，已举办9届赛事</w:t>
      </w:r>
      <w:r>
        <w:rPr>
          <w:rFonts w:hint="eastAsia"/>
        </w:rPr>
        <w:t>，共计</w:t>
      </w:r>
      <w:r>
        <w:t>引进企业共238家</w:t>
      </w:r>
      <w:r>
        <w:rPr>
          <w:rFonts w:hint="eastAsia"/>
        </w:rPr>
        <w:t>。通过本次绩效数据采集梳理，目前已经有62家企业不在园区或者部分搬离，占总引进数量的26.05%。其中，56家企业因经营不善或者水土不服已经注销，另外，6家企业随着发展部分或者全部搬离松山湖园区。</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一是</w:t>
      </w:r>
      <w:r>
        <w:rPr>
          <w:rFonts w:hint="eastAsia"/>
        </w:rPr>
        <w:t>外部引入项目由于缺乏本地基础更易夭折。通过梳理，在56个注销的项目中，其中44个项目在2020年及以前引入，占比78.57%。回顾园区2015-2020年大赛奖励的内外部项目，对比发现，</w:t>
      </w:r>
      <w:r>
        <w:t>松山湖本土获奖企业正常经营占比91%，</w:t>
      </w:r>
      <w:r>
        <w:rPr>
          <w:rFonts w:hint="eastAsia"/>
        </w:rPr>
        <w:t>相比而言</w:t>
      </w:r>
      <w:r>
        <w:t>，</w:t>
      </w:r>
      <w:r>
        <w:rPr>
          <w:rFonts w:hint="eastAsia"/>
        </w:rPr>
        <w:t>园区外部引入</w:t>
      </w:r>
      <w:r>
        <w:t>正常经营占比为57%，</w:t>
      </w:r>
      <w:r>
        <w:rPr>
          <w:rFonts w:hint="eastAsia"/>
        </w:rPr>
        <w:t>显然外部项目缺乏本地基础，经营不善的概率更大。另一方面，从产业引入的角度而言，注销项目的占比按照产业分布梳理可以发现，未来产业尚未有企业流出；</w:t>
      </w:r>
      <w:r>
        <w:t>生产性服务业</w:t>
      </w:r>
      <w:r>
        <w:rPr>
          <w:rFonts w:hint="eastAsia"/>
        </w:rPr>
        <w:t>、</w:t>
      </w:r>
      <w:r>
        <w:t>新一代信息技术与智能网联汽车</w:t>
      </w:r>
      <w:r>
        <w:rPr>
          <w:rFonts w:hint="eastAsia"/>
        </w:rPr>
        <w:t>两个产业的注销比例较高，恰好与园区“1+4+1+X”产业体系中的两个“1”对应，也说明园区“生产性服务业、新一代信息技术与智能网联汽车”这两个产业的基础较为薄弱。</w:t>
      </w:r>
    </w:p>
    <w:p>
      <w:pPr>
        <w:ind w:firstLine="560"/>
        <w:jc w:val="center"/>
        <w:rPr>
          <w:rFonts w:eastAsia="黑体"/>
          <w:sz w:val="28"/>
          <w:szCs w:val="28"/>
        </w:rPr>
      </w:pPr>
      <w:r>
        <w:rPr>
          <w:rFonts w:hint="eastAsia" w:eastAsia="黑体"/>
          <w:sz w:val="28"/>
          <w:szCs w:val="28"/>
        </w:rPr>
        <w:t>表</w:t>
      </w:r>
      <w:r>
        <w:rPr>
          <w:rFonts w:eastAsia="黑体"/>
          <w:sz w:val="28"/>
          <w:szCs w:val="28"/>
        </w:rPr>
        <w:t>4-</w:t>
      </w:r>
      <w:r>
        <w:rPr>
          <w:rFonts w:hint="eastAsia" w:eastAsia="黑体"/>
          <w:sz w:val="28"/>
          <w:szCs w:val="28"/>
        </w:rPr>
        <w:t>2</w:t>
      </w:r>
      <w:r>
        <w:rPr>
          <w:rFonts w:eastAsia="黑体"/>
          <w:sz w:val="28"/>
          <w:szCs w:val="28"/>
        </w:rPr>
        <w:t xml:space="preserve"> </w:t>
      </w:r>
      <w:r>
        <w:rPr>
          <w:rFonts w:hint="eastAsia" w:eastAsia="黑体"/>
          <w:sz w:val="28"/>
          <w:szCs w:val="28"/>
        </w:rPr>
        <w:t>引入项目注销比例的产业分布情况</w:t>
      </w:r>
    </w:p>
    <w:tbl>
      <w:tblPr>
        <w:tblStyle w:val="24"/>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962"/>
        <w:gridCol w:w="1696"/>
        <w:gridCol w:w="141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866" w:type="dxa"/>
            <w:noWrap/>
            <w:vAlign w:val="center"/>
          </w:tcPr>
          <w:p>
            <w:pPr>
              <w:widowControl/>
              <w:adjustRightInd w:val="0"/>
              <w:ind w:firstLine="0" w:firstLineChars="0"/>
              <w:jc w:val="center"/>
              <w:rPr>
                <w:rFonts w:cs="宋体"/>
                <w:b/>
                <w:bCs/>
                <w:kern w:val="0"/>
                <w:sz w:val="24"/>
                <w:szCs w:val="15"/>
              </w:rPr>
            </w:pPr>
            <w:r>
              <w:rPr>
                <w:rFonts w:cs="宋体"/>
                <w:b/>
                <w:bCs/>
                <w:kern w:val="0"/>
                <w:sz w:val="24"/>
                <w:szCs w:val="15"/>
              </w:rPr>
              <w:t>序号</w:t>
            </w:r>
          </w:p>
        </w:tc>
        <w:tc>
          <w:tcPr>
            <w:tcW w:w="2962" w:type="dxa"/>
            <w:vAlign w:val="center"/>
          </w:tcPr>
          <w:p>
            <w:pPr>
              <w:widowControl/>
              <w:adjustRightInd w:val="0"/>
              <w:ind w:firstLine="0" w:firstLineChars="0"/>
              <w:jc w:val="center"/>
              <w:rPr>
                <w:rFonts w:cs="宋体"/>
                <w:b/>
                <w:bCs/>
                <w:kern w:val="0"/>
                <w:sz w:val="24"/>
                <w:szCs w:val="15"/>
              </w:rPr>
            </w:pPr>
            <w:r>
              <w:rPr>
                <w:rFonts w:cs="宋体"/>
                <w:b/>
                <w:bCs/>
                <w:kern w:val="0"/>
                <w:sz w:val="24"/>
                <w:szCs w:val="15"/>
              </w:rPr>
              <w:t>产业方向</w:t>
            </w:r>
          </w:p>
        </w:tc>
        <w:tc>
          <w:tcPr>
            <w:tcW w:w="1696"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引入项目总数</w:t>
            </w:r>
          </w:p>
        </w:tc>
        <w:tc>
          <w:tcPr>
            <w:tcW w:w="1417" w:type="dxa"/>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注销数量</w:t>
            </w:r>
          </w:p>
        </w:tc>
        <w:tc>
          <w:tcPr>
            <w:tcW w:w="1418"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注销比例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866"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合计</w:t>
            </w:r>
          </w:p>
        </w:tc>
        <w:tc>
          <w:tcPr>
            <w:tcW w:w="2962" w:type="dxa"/>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w:t>
            </w:r>
          </w:p>
        </w:tc>
        <w:tc>
          <w:tcPr>
            <w:tcW w:w="1696"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238</w:t>
            </w:r>
          </w:p>
        </w:tc>
        <w:tc>
          <w:tcPr>
            <w:tcW w:w="1417" w:type="dxa"/>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56</w:t>
            </w:r>
          </w:p>
        </w:tc>
        <w:tc>
          <w:tcPr>
            <w:tcW w:w="1418" w:type="dxa"/>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23.53%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1</w:t>
            </w:r>
          </w:p>
        </w:tc>
        <w:tc>
          <w:tcPr>
            <w:tcW w:w="2962"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新一代信息技术与智能网联汽车</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44</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15</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2</w:t>
            </w:r>
          </w:p>
        </w:tc>
        <w:tc>
          <w:tcPr>
            <w:tcW w:w="2962"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机器人与智能装备制造</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68</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8</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3</w:t>
            </w:r>
          </w:p>
        </w:tc>
        <w:tc>
          <w:tcPr>
            <w:tcW w:w="2962"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半导体与集成电路</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16</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3</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4</w:t>
            </w:r>
          </w:p>
        </w:tc>
        <w:tc>
          <w:tcPr>
            <w:tcW w:w="2962"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生物医药与健康</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41</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11</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5</w:t>
            </w:r>
          </w:p>
        </w:tc>
        <w:tc>
          <w:tcPr>
            <w:tcW w:w="2962" w:type="dxa"/>
            <w:vAlign w:val="center"/>
          </w:tcPr>
          <w:p>
            <w:pPr>
              <w:widowControl/>
              <w:adjustRightInd w:val="0"/>
              <w:ind w:firstLine="0" w:firstLineChars="0"/>
              <w:jc w:val="center"/>
              <w:rPr>
                <w:rFonts w:cs="宋体"/>
                <w:color w:val="000000"/>
                <w:kern w:val="0"/>
                <w:sz w:val="24"/>
                <w:szCs w:val="15"/>
              </w:rPr>
            </w:pPr>
            <w:r>
              <w:rPr>
                <w:rFonts w:cs="宋体"/>
                <w:color w:val="000000"/>
                <w:kern w:val="0"/>
                <w:sz w:val="24"/>
                <w:szCs w:val="15"/>
              </w:rPr>
              <w:t>新材料与新能源</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45</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9</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r>
              <w:rPr>
                <w:rFonts w:cs="宋体"/>
                <w:kern w:val="0"/>
                <w:sz w:val="24"/>
                <w:szCs w:val="15"/>
              </w:rPr>
              <w:t>6</w:t>
            </w:r>
          </w:p>
        </w:tc>
        <w:tc>
          <w:tcPr>
            <w:tcW w:w="2962" w:type="dxa"/>
            <w:vAlign w:val="center"/>
          </w:tcPr>
          <w:p>
            <w:pPr>
              <w:widowControl/>
              <w:adjustRightInd w:val="0"/>
              <w:ind w:firstLine="0" w:firstLineChars="0"/>
              <w:jc w:val="center"/>
              <w:rPr>
                <w:rFonts w:cs="宋体"/>
                <w:color w:val="000000"/>
                <w:kern w:val="0"/>
                <w:sz w:val="24"/>
                <w:szCs w:val="15"/>
              </w:rPr>
            </w:pPr>
            <w:bookmarkStart w:id="87" w:name="OLE_LINK6"/>
            <w:r>
              <w:rPr>
                <w:rFonts w:cs="宋体"/>
                <w:color w:val="000000"/>
                <w:kern w:val="0"/>
                <w:sz w:val="24"/>
                <w:szCs w:val="15"/>
              </w:rPr>
              <w:t>生产性服务业</w:t>
            </w:r>
            <w:bookmarkEnd w:id="87"/>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22</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10</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6" w:type="dxa"/>
            <w:noWrap/>
            <w:vAlign w:val="center"/>
          </w:tcPr>
          <w:p>
            <w:pPr>
              <w:widowControl/>
              <w:adjustRightInd w:val="0"/>
              <w:ind w:firstLine="0" w:firstLineChars="0"/>
              <w:jc w:val="center"/>
              <w:rPr>
                <w:rFonts w:cs="宋体"/>
                <w:kern w:val="0"/>
                <w:sz w:val="24"/>
                <w:szCs w:val="15"/>
              </w:rPr>
            </w:pPr>
            <w:bookmarkStart w:id="88" w:name="OLE_LINK21"/>
            <w:r>
              <w:rPr>
                <w:rFonts w:hint="eastAsia" w:cs="宋体"/>
                <w:kern w:val="0"/>
                <w:sz w:val="24"/>
                <w:szCs w:val="15"/>
              </w:rPr>
              <w:t>7</w:t>
            </w:r>
          </w:p>
        </w:tc>
        <w:tc>
          <w:tcPr>
            <w:tcW w:w="2962" w:type="dxa"/>
            <w:vAlign w:val="center"/>
          </w:tcPr>
          <w:p>
            <w:pPr>
              <w:widowControl/>
              <w:adjustRightInd w:val="0"/>
              <w:ind w:firstLine="0" w:firstLineChars="0"/>
              <w:jc w:val="center"/>
              <w:rPr>
                <w:rFonts w:cs="宋体"/>
                <w:color w:val="000000"/>
                <w:kern w:val="0"/>
                <w:sz w:val="24"/>
                <w:szCs w:val="15"/>
              </w:rPr>
            </w:pPr>
            <w:r>
              <w:rPr>
                <w:rFonts w:hint="eastAsia" w:cs="宋体"/>
                <w:color w:val="000000"/>
                <w:kern w:val="0"/>
                <w:sz w:val="24"/>
                <w:szCs w:val="15"/>
              </w:rPr>
              <w:t>未来产业</w:t>
            </w:r>
          </w:p>
        </w:tc>
        <w:tc>
          <w:tcPr>
            <w:tcW w:w="1696"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w:t>
            </w:r>
          </w:p>
        </w:tc>
        <w:tc>
          <w:tcPr>
            <w:tcW w:w="1417" w:type="dxa"/>
            <w:vAlign w:val="center"/>
          </w:tcPr>
          <w:p>
            <w:pPr>
              <w:widowControl/>
              <w:adjustRightInd w:val="0"/>
              <w:ind w:firstLine="0" w:firstLineChars="0"/>
              <w:jc w:val="center"/>
              <w:rPr>
                <w:rFonts w:cs="宋体"/>
                <w:kern w:val="0"/>
                <w:sz w:val="24"/>
                <w:szCs w:val="15"/>
              </w:rPr>
            </w:pPr>
            <w:r>
              <w:rPr>
                <w:rFonts w:hint="eastAsia" w:cs="宋体"/>
                <w:kern w:val="0"/>
                <w:sz w:val="24"/>
                <w:szCs w:val="15"/>
              </w:rPr>
              <w:t>0</w:t>
            </w:r>
          </w:p>
        </w:tc>
        <w:tc>
          <w:tcPr>
            <w:tcW w:w="1418" w:type="dxa"/>
            <w:noWrap/>
            <w:vAlign w:val="center"/>
          </w:tcPr>
          <w:p>
            <w:pPr>
              <w:widowControl/>
              <w:adjustRightInd w:val="0"/>
              <w:ind w:firstLine="0" w:firstLineChars="0"/>
              <w:jc w:val="center"/>
              <w:rPr>
                <w:rFonts w:cs="宋体"/>
                <w:kern w:val="0"/>
                <w:sz w:val="24"/>
                <w:szCs w:val="15"/>
              </w:rPr>
            </w:pPr>
            <w:r>
              <w:rPr>
                <w:rFonts w:hint="eastAsia" w:cs="宋体"/>
                <w:kern w:val="0"/>
                <w:sz w:val="24"/>
                <w:szCs w:val="15"/>
              </w:rPr>
              <w:t>0%</w:t>
            </w:r>
          </w:p>
        </w:tc>
      </w:tr>
    </w:tbl>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1"/>
        <w:jc w:val="left"/>
        <w:textAlignment w:val="auto"/>
        <w:rPr>
          <w:rFonts w:eastAsia="黑体"/>
          <w:sz w:val="28"/>
          <w:szCs w:val="28"/>
        </w:rPr>
      </w:pPr>
      <w:r>
        <w:rPr>
          <w:rFonts w:hint="eastAsia"/>
          <w:b/>
          <w:bCs/>
        </w:rPr>
        <w:t>二是</w:t>
      </w:r>
      <w:r>
        <w:rPr>
          <w:rFonts w:hint="eastAsia"/>
        </w:rPr>
        <w:t>存在个别项目成长壮大后离开了园区。目前，引入的项目中共有</w:t>
      </w:r>
      <w:r>
        <w:t>6</w:t>
      </w:r>
      <w:r>
        <w:rPr>
          <w:rFonts w:hint="eastAsia"/>
        </w:rPr>
        <w:t>个项目离开园区，其中</w:t>
      </w:r>
      <w:r>
        <w:t>2</w:t>
      </w:r>
      <w:r>
        <w:rPr>
          <w:rFonts w:hint="eastAsia"/>
        </w:rPr>
        <w:t>个留在东莞，</w:t>
      </w:r>
      <w:r>
        <w:t>2</w:t>
      </w:r>
      <w:r>
        <w:rPr>
          <w:rFonts w:hint="eastAsia"/>
        </w:rPr>
        <w:t>个迁到广东省其他市，</w:t>
      </w:r>
      <w:r>
        <w:t>2</w:t>
      </w:r>
      <w:r>
        <w:rPr>
          <w:rFonts w:hint="eastAsia"/>
        </w:rPr>
        <w:t>个迁出广东。云鲸智能和本末科技则是部分搬离</w:t>
      </w:r>
      <w:bookmarkEnd w:id="88"/>
      <w:r>
        <w:rPr>
          <w:rFonts w:hint="eastAsia"/>
        </w:rPr>
        <w:t>，经过访谈，主要是企业在发展壮大以后，制造成本成为经营关键要素，所面临的经营成本较大，园区的生产要素成本优势不明显，或获得其他投资后迁出园区。</w:t>
      </w:r>
      <w:r>
        <w:rPr>
          <w:rFonts w:hint="eastAsia" w:eastAsia="黑体"/>
          <w:sz w:val="28"/>
          <w:szCs w:val="28"/>
        </w:rPr>
        <w:br w:type="page"/>
      </w:r>
    </w:p>
    <w:p>
      <w:pPr>
        <w:ind w:firstLine="560"/>
        <w:jc w:val="center"/>
        <w:rPr>
          <w:rFonts w:eastAsia="黑体"/>
          <w:sz w:val="28"/>
          <w:szCs w:val="28"/>
        </w:rPr>
      </w:pPr>
      <w:r>
        <w:rPr>
          <w:rFonts w:hint="eastAsia" w:eastAsia="黑体"/>
          <w:sz w:val="28"/>
          <w:szCs w:val="28"/>
        </w:rPr>
        <w:t>表</w:t>
      </w:r>
      <w:r>
        <w:rPr>
          <w:rFonts w:eastAsia="黑体"/>
          <w:sz w:val="28"/>
          <w:szCs w:val="28"/>
        </w:rPr>
        <w:t>4-</w:t>
      </w:r>
      <w:r>
        <w:rPr>
          <w:rFonts w:hint="eastAsia" w:eastAsia="黑体"/>
          <w:sz w:val="28"/>
          <w:szCs w:val="28"/>
        </w:rPr>
        <w:t>3</w:t>
      </w:r>
      <w:r>
        <w:rPr>
          <w:rFonts w:eastAsia="黑体"/>
          <w:sz w:val="28"/>
          <w:szCs w:val="28"/>
        </w:rPr>
        <w:t xml:space="preserve"> </w:t>
      </w:r>
      <w:r>
        <w:rPr>
          <w:rFonts w:hint="eastAsia" w:eastAsia="黑体"/>
          <w:sz w:val="28"/>
          <w:szCs w:val="28"/>
        </w:rPr>
        <w:t>搬离（含部分搬离）园区项目概况</w:t>
      </w:r>
      <w:r>
        <w:rPr>
          <w:rFonts w:eastAsia="黑体"/>
          <w:sz w:val="28"/>
          <w:szCs w:val="28"/>
        </w:rPr>
        <w:t xml:space="preserve"> </w:t>
      </w:r>
    </w:p>
    <w:tbl>
      <w:tblPr>
        <w:tblStyle w:val="24"/>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45"/>
        <w:gridCol w:w="716"/>
        <w:gridCol w:w="1145"/>
        <w:gridCol w:w="1289"/>
        <w:gridCol w:w="1130"/>
        <w:gridCol w:w="1805"/>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blHeader/>
          <w:jc w:val="center"/>
        </w:trPr>
        <w:tc>
          <w:tcPr>
            <w:tcW w:w="1284" w:type="dxa"/>
            <w:noWrap/>
            <w:vAlign w:val="center"/>
          </w:tcPr>
          <w:p>
            <w:pPr>
              <w:widowControl/>
              <w:ind w:firstLine="0" w:firstLineChars="0"/>
              <w:jc w:val="center"/>
              <w:rPr>
                <w:rFonts w:cs="宋体"/>
                <w:b/>
                <w:bCs/>
                <w:kern w:val="0"/>
                <w:sz w:val="24"/>
                <w:szCs w:val="24"/>
              </w:rPr>
            </w:pPr>
            <w:bookmarkStart w:id="89" w:name="OLE_LINK24"/>
            <w:r>
              <w:rPr>
                <w:rFonts w:hint="eastAsia" w:cs="宋体"/>
                <w:b/>
                <w:bCs/>
                <w:kern w:val="0"/>
                <w:sz w:val="24"/>
                <w:szCs w:val="24"/>
              </w:rPr>
              <w:t>公司</w:t>
            </w:r>
          </w:p>
        </w:tc>
        <w:tc>
          <w:tcPr>
            <w:tcW w:w="1145" w:type="dxa"/>
            <w:noWrap/>
            <w:vAlign w:val="center"/>
          </w:tcPr>
          <w:p>
            <w:pPr>
              <w:widowControl/>
              <w:ind w:firstLine="0" w:firstLineChars="0"/>
              <w:jc w:val="center"/>
              <w:rPr>
                <w:rFonts w:cs="宋体"/>
                <w:b/>
                <w:bCs/>
                <w:kern w:val="0"/>
                <w:sz w:val="24"/>
                <w:szCs w:val="24"/>
              </w:rPr>
            </w:pPr>
            <w:r>
              <w:rPr>
                <w:rFonts w:hint="eastAsia" w:cs="宋体"/>
                <w:b/>
                <w:bCs/>
                <w:kern w:val="0"/>
                <w:sz w:val="24"/>
                <w:szCs w:val="24"/>
              </w:rPr>
              <w:t>产业</w:t>
            </w:r>
          </w:p>
        </w:tc>
        <w:tc>
          <w:tcPr>
            <w:tcW w:w="716" w:type="dxa"/>
            <w:noWrap/>
            <w:vAlign w:val="center"/>
          </w:tcPr>
          <w:p>
            <w:pPr>
              <w:widowControl/>
              <w:ind w:firstLine="0" w:firstLineChars="0"/>
              <w:jc w:val="center"/>
              <w:rPr>
                <w:rFonts w:cs="宋体"/>
                <w:b/>
                <w:bCs/>
                <w:kern w:val="0"/>
                <w:sz w:val="24"/>
                <w:szCs w:val="24"/>
              </w:rPr>
            </w:pPr>
            <w:r>
              <w:rPr>
                <w:rFonts w:hint="eastAsia" w:cs="宋体"/>
                <w:b/>
                <w:bCs/>
                <w:kern w:val="0"/>
                <w:sz w:val="24"/>
                <w:szCs w:val="24"/>
              </w:rPr>
              <w:t>入驻时间</w:t>
            </w:r>
          </w:p>
        </w:tc>
        <w:tc>
          <w:tcPr>
            <w:tcW w:w="1145" w:type="dxa"/>
            <w:noWrap/>
            <w:vAlign w:val="center"/>
          </w:tcPr>
          <w:p>
            <w:pPr>
              <w:widowControl/>
              <w:ind w:firstLine="0" w:firstLineChars="0"/>
              <w:jc w:val="center"/>
              <w:rPr>
                <w:rFonts w:cs="宋体"/>
                <w:b/>
                <w:bCs/>
                <w:kern w:val="0"/>
                <w:sz w:val="24"/>
                <w:szCs w:val="24"/>
              </w:rPr>
            </w:pPr>
            <w:r>
              <w:rPr>
                <w:rFonts w:hint="eastAsia" w:cs="宋体"/>
                <w:b/>
                <w:bCs/>
                <w:kern w:val="0"/>
                <w:sz w:val="24"/>
                <w:szCs w:val="24"/>
              </w:rPr>
              <w:t>搬离时间</w:t>
            </w:r>
          </w:p>
        </w:tc>
        <w:tc>
          <w:tcPr>
            <w:tcW w:w="1289" w:type="dxa"/>
            <w:vAlign w:val="center"/>
          </w:tcPr>
          <w:p>
            <w:pPr>
              <w:widowControl/>
              <w:ind w:firstLine="0" w:firstLineChars="0"/>
              <w:jc w:val="center"/>
              <w:rPr>
                <w:rFonts w:cs="宋体"/>
                <w:b/>
                <w:bCs/>
                <w:kern w:val="0"/>
                <w:sz w:val="24"/>
                <w:szCs w:val="24"/>
              </w:rPr>
            </w:pPr>
            <w:r>
              <w:rPr>
                <w:rFonts w:hint="eastAsia" w:cs="宋体"/>
                <w:b/>
                <w:bCs/>
                <w:kern w:val="0"/>
                <w:sz w:val="24"/>
                <w:szCs w:val="24"/>
              </w:rPr>
              <w:t>搬离前产值规模</w:t>
            </w:r>
            <w:r>
              <w:rPr>
                <w:rFonts w:cs="宋体"/>
                <w:b/>
                <w:bCs/>
                <w:kern w:val="0"/>
                <w:sz w:val="24"/>
                <w:szCs w:val="24"/>
              </w:rPr>
              <w:br w:type="textWrapping"/>
            </w:r>
            <w:r>
              <w:rPr>
                <w:rFonts w:hint="eastAsia" w:cs="宋体"/>
                <w:b/>
                <w:bCs/>
                <w:kern w:val="0"/>
                <w:sz w:val="24"/>
                <w:szCs w:val="24"/>
              </w:rPr>
              <w:t>（万元）</w:t>
            </w:r>
          </w:p>
        </w:tc>
        <w:tc>
          <w:tcPr>
            <w:tcW w:w="1130" w:type="dxa"/>
            <w:vAlign w:val="center"/>
          </w:tcPr>
          <w:p>
            <w:pPr>
              <w:widowControl/>
              <w:ind w:firstLine="0" w:firstLineChars="0"/>
              <w:jc w:val="center"/>
              <w:rPr>
                <w:rFonts w:cs="宋体"/>
                <w:b/>
                <w:bCs/>
                <w:kern w:val="0"/>
                <w:sz w:val="24"/>
                <w:szCs w:val="24"/>
              </w:rPr>
            </w:pPr>
            <w:r>
              <w:rPr>
                <w:rFonts w:hint="eastAsia" w:cs="宋体"/>
                <w:b/>
                <w:bCs/>
                <w:kern w:val="0"/>
                <w:sz w:val="24"/>
                <w:szCs w:val="24"/>
              </w:rPr>
              <w:t>搬离前税收</w:t>
            </w:r>
          </w:p>
          <w:p>
            <w:pPr>
              <w:widowControl/>
              <w:ind w:firstLine="0" w:firstLineChars="0"/>
              <w:jc w:val="center"/>
              <w:rPr>
                <w:rFonts w:cs="宋体"/>
                <w:b/>
                <w:bCs/>
                <w:kern w:val="0"/>
                <w:sz w:val="24"/>
                <w:szCs w:val="24"/>
              </w:rPr>
            </w:pPr>
            <w:r>
              <w:rPr>
                <w:rFonts w:hint="eastAsia" w:cs="宋体"/>
                <w:b/>
                <w:bCs/>
                <w:kern w:val="0"/>
                <w:sz w:val="24"/>
                <w:szCs w:val="24"/>
              </w:rPr>
              <w:t>（万元）</w:t>
            </w:r>
          </w:p>
        </w:tc>
        <w:tc>
          <w:tcPr>
            <w:tcW w:w="1805" w:type="dxa"/>
            <w:vAlign w:val="center"/>
          </w:tcPr>
          <w:p>
            <w:pPr>
              <w:widowControl/>
              <w:ind w:firstLine="0" w:firstLineChars="0"/>
              <w:jc w:val="center"/>
              <w:rPr>
                <w:rFonts w:cs="宋体"/>
                <w:b/>
                <w:bCs/>
                <w:kern w:val="0"/>
                <w:sz w:val="24"/>
                <w:szCs w:val="24"/>
              </w:rPr>
            </w:pPr>
            <w:r>
              <w:rPr>
                <w:rFonts w:hint="eastAsia" w:cs="宋体"/>
                <w:b/>
                <w:bCs/>
                <w:kern w:val="0"/>
                <w:sz w:val="24"/>
                <w:szCs w:val="24"/>
              </w:rPr>
              <w:t>迁出原因</w:t>
            </w:r>
          </w:p>
        </w:tc>
        <w:tc>
          <w:tcPr>
            <w:tcW w:w="1882" w:type="dxa"/>
            <w:vAlign w:val="center"/>
          </w:tcPr>
          <w:p>
            <w:pPr>
              <w:widowControl/>
              <w:ind w:firstLine="0" w:firstLineChars="0"/>
              <w:jc w:val="center"/>
              <w:rPr>
                <w:rFonts w:cs="宋体"/>
                <w:b/>
                <w:bCs/>
                <w:kern w:val="0"/>
                <w:sz w:val="24"/>
                <w:szCs w:val="24"/>
              </w:rPr>
            </w:pPr>
            <w:r>
              <w:rPr>
                <w:rFonts w:hint="eastAsia" w:cs="宋体"/>
                <w:b/>
                <w:bCs/>
                <w:kern w:val="0"/>
                <w:sz w:val="24"/>
                <w:szCs w:val="24"/>
              </w:rPr>
              <w:t>迁入地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广东艾斯迪新材料有限公司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新材料与新能源</w:t>
            </w:r>
          </w:p>
        </w:tc>
        <w:tc>
          <w:tcPr>
            <w:tcW w:w="716" w:type="dxa"/>
            <w:vAlign w:val="center"/>
          </w:tcPr>
          <w:p>
            <w:pPr>
              <w:widowControl/>
              <w:ind w:firstLine="0" w:firstLineChars="0"/>
              <w:jc w:val="center"/>
              <w:rPr>
                <w:rFonts w:cs="宋体"/>
                <w:kern w:val="0"/>
                <w:sz w:val="24"/>
                <w:szCs w:val="24"/>
              </w:rPr>
            </w:pPr>
            <w:r>
              <w:rPr>
                <w:rFonts w:cs="宋体"/>
                <w:kern w:val="0"/>
                <w:sz w:val="24"/>
                <w:szCs w:val="24"/>
              </w:rPr>
              <w:t>2006</w:t>
            </w:r>
            <w:r>
              <w:rPr>
                <w:rFonts w:hint="eastAsia" w:cs="宋体"/>
                <w:kern w:val="0"/>
                <w:sz w:val="24"/>
                <w:szCs w:val="24"/>
              </w:rPr>
              <w:t>年</w:t>
            </w:r>
            <w:r>
              <w:rPr>
                <w:rFonts w:cs="宋体"/>
                <w:kern w:val="0"/>
                <w:sz w:val="24"/>
                <w:szCs w:val="24"/>
              </w:rPr>
              <w:t>2</w:t>
            </w:r>
            <w:r>
              <w:rPr>
                <w:rFonts w:hint="eastAsia" w:cs="宋体"/>
                <w:kern w:val="0"/>
                <w:sz w:val="24"/>
                <w:szCs w:val="24"/>
              </w:rPr>
              <w:t>月</w:t>
            </w:r>
          </w:p>
        </w:tc>
        <w:tc>
          <w:tcPr>
            <w:tcW w:w="1145" w:type="dxa"/>
            <w:vAlign w:val="center"/>
          </w:tcPr>
          <w:p>
            <w:pPr>
              <w:widowControl/>
              <w:ind w:firstLine="0" w:firstLineChars="0"/>
              <w:jc w:val="center"/>
              <w:rPr>
                <w:rFonts w:cs="宋体"/>
                <w:kern w:val="0"/>
                <w:sz w:val="24"/>
                <w:szCs w:val="24"/>
              </w:rPr>
            </w:pPr>
            <w:r>
              <w:rPr>
                <w:rFonts w:cs="宋体"/>
                <w:kern w:val="0"/>
                <w:sz w:val="24"/>
                <w:szCs w:val="24"/>
              </w:rPr>
              <w:t>2025</w:t>
            </w:r>
            <w:r>
              <w:rPr>
                <w:rFonts w:hint="eastAsia" w:cs="宋体"/>
                <w:kern w:val="0"/>
                <w:sz w:val="24"/>
                <w:szCs w:val="24"/>
              </w:rPr>
              <w:t>年</w:t>
            </w:r>
            <w:r>
              <w:rPr>
                <w:rFonts w:cs="宋体"/>
                <w:kern w:val="0"/>
                <w:sz w:val="24"/>
                <w:szCs w:val="24"/>
              </w:rPr>
              <w:t>11</w:t>
            </w:r>
            <w:r>
              <w:rPr>
                <w:rFonts w:hint="eastAsia" w:cs="宋体"/>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color w:val="000000"/>
                <w:kern w:val="0"/>
                <w:sz w:val="24"/>
                <w:szCs w:val="24"/>
              </w:rPr>
              <w:t>426.40</w:t>
            </w:r>
          </w:p>
        </w:tc>
        <w:tc>
          <w:tcPr>
            <w:tcW w:w="1130" w:type="dxa"/>
            <w:vAlign w:val="center"/>
          </w:tcPr>
          <w:p>
            <w:pPr>
              <w:widowControl/>
              <w:ind w:firstLine="0" w:firstLineChars="0"/>
              <w:jc w:val="center"/>
              <w:rPr>
                <w:rFonts w:cs="宋体"/>
                <w:kern w:val="0"/>
                <w:sz w:val="24"/>
                <w:szCs w:val="24"/>
              </w:rPr>
            </w:pPr>
            <w:r>
              <w:rPr>
                <w:rFonts w:hint="eastAsia" w:cs="宋体"/>
                <w:kern w:val="0"/>
                <w:sz w:val="24"/>
                <w:szCs w:val="24"/>
              </w:rPr>
              <w:t>7.53</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松山湖租金贵、业务发展需要，搬到东莞东城</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东莞东城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东莞大锌能源有限公司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新材料与新能源</w:t>
            </w:r>
          </w:p>
        </w:tc>
        <w:tc>
          <w:tcPr>
            <w:tcW w:w="716" w:type="dxa"/>
            <w:vAlign w:val="center"/>
          </w:tcPr>
          <w:p>
            <w:pPr>
              <w:widowControl/>
              <w:ind w:firstLine="0" w:firstLineChars="0"/>
              <w:jc w:val="center"/>
              <w:rPr>
                <w:rFonts w:cs="宋体"/>
                <w:kern w:val="0"/>
                <w:sz w:val="24"/>
                <w:szCs w:val="24"/>
              </w:rPr>
            </w:pPr>
            <w:r>
              <w:rPr>
                <w:rFonts w:cs="宋体"/>
                <w:kern w:val="0"/>
                <w:sz w:val="24"/>
                <w:szCs w:val="24"/>
              </w:rPr>
              <w:t>2020</w:t>
            </w:r>
            <w:r>
              <w:rPr>
                <w:rFonts w:hint="eastAsia" w:cs="宋体"/>
                <w:kern w:val="0"/>
                <w:sz w:val="24"/>
                <w:szCs w:val="24"/>
              </w:rPr>
              <w:t>年</w:t>
            </w:r>
            <w:r>
              <w:rPr>
                <w:rFonts w:cs="宋体"/>
                <w:kern w:val="0"/>
                <w:sz w:val="24"/>
                <w:szCs w:val="24"/>
              </w:rPr>
              <w:t>8</w:t>
            </w:r>
            <w:r>
              <w:rPr>
                <w:rFonts w:hint="eastAsia" w:cs="宋体"/>
                <w:kern w:val="0"/>
                <w:sz w:val="24"/>
                <w:szCs w:val="24"/>
              </w:rPr>
              <w:t>月</w:t>
            </w:r>
          </w:p>
        </w:tc>
        <w:tc>
          <w:tcPr>
            <w:tcW w:w="1145" w:type="dxa"/>
            <w:vAlign w:val="center"/>
          </w:tcPr>
          <w:p>
            <w:pPr>
              <w:widowControl/>
              <w:ind w:firstLine="0" w:firstLineChars="0"/>
              <w:jc w:val="center"/>
              <w:rPr>
                <w:rFonts w:cs="宋体"/>
                <w:kern w:val="0"/>
                <w:sz w:val="24"/>
                <w:szCs w:val="24"/>
              </w:rPr>
            </w:pPr>
            <w:r>
              <w:rPr>
                <w:rFonts w:cs="宋体"/>
                <w:kern w:val="0"/>
                <w:sz w:val="24"/>
                <w:szCs w:val="24"/>
              </w:rPr>
              <w:t>2025</w:t>
            </w:r>
            <w:r>
              <w:rPr>
                <w:rFonts w:hint="eastAsia" w:cs="宋体"/>
                <w:kern w:val="0"/>
                <w:sz w:val="24"/>
                <w:szCs w:val="24"/>
              </w:rPr>
              <w:t>年</w:t>
            </w:r>
            <w:r>
              <w:rPr>
                <w:rFonts w:cs="宋体"/>
                <w:kern w:val="0"/>
                <w:sz w:val="24"/>
                <w:szCs w:val="24"/>
              </w:rPr>
              <w:t>12</w:t>
            </w:r>
            <w:r>
              <w:rPr>
                <w:rFonts w:hint="eastAsia" w:cs="宋体"/>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color w:val="000000"/>
                <w:kern w:val="0"/>
                <w:sz w:val="24"/>
                <w:szCs w:val="24"/>
              </w:rPr>
              <w:t>73.19</w:t>
            </w:r>
          </w:p>
        </w:tc>
        <w:tc>
          <w:tcPr>
            <w:tcW w:w="1130" w:type="dxa"/>
            <w:vAlign w:val="center"/>
          </w:tcPr>
          <w:p>
            <w:pPr>
              <w:widowControl/>
              <w:ind w:firstLine="0" w:firstLineChars="0"/>
              <w:jc w:val="center"/>
              <w:rPr>
                <w:rFonts w:cs="宋体"/>
                <w:kern w:val="0"/>
                <w:sz w:val="24"/>
                <w:szCs w:val="24"/>
              </w:rPr>
            </w:pPr>
            <w:r>
              <w:rPr>
                <w:rFonts w:hint="eastAsia" w:cs="宋体"/>
                <w:kern w:val="0"/>
                <w:sz w:val="24"/>
                <w:szCs w:val="24"/>
              </w:rPr>
              <w:t>3.3</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松山湖租金贵且没有环评，搬到东莞大朗镇</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东莞大朗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广东清大智兴生物技术有限公司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生物医药与健康</w:t>
            </w:r>
          </w:p>
        </w:tc>
        <w:tc>
          <w:tcPr>
            <w:tcW w:w="716" w:type="dxa"/>
            <w:vAlign w:val="center"/>
          </w:tcPr>
          <w:p>
            <w:pPr>
              <w:widowControl/>
              <w:ind w:firstLine="0" w:firstLineChars="0"/>
              <w:jc w:val="center"/>
              <w:rPr>
                <w:rFonts w:cs="宋体"/>
                <w:kern w:val="0"/>
                <w:sz w:val="24"/>
                <w:szCs w:val="24"/>
              </w:rPr>
            </w:pPr>
            <w:r>
              <w:rPr>
                <w:rFonts w:cs="宋体"/>
                <w:kern w:val="0"/>
                <w:sz w:val="24"/>
                <w:szCs w:val="24"/>
              </w:rPr>
              <w:t>2017</w:t>
            </w:r>
            <w:r>
              <w:rPr>
                <w:rFonts w:hint="eastAsia" w:cs="宋体"/>
                <w:kern w:val="0"/>
                <w:sz w:val="24"/>
                <w:szCs w:val="24"/>
              </w:rPr>
              <w:t>年</w:t>
            </w:r>
            <w:r>
              <w:rPr>
                <w:rFonts w:cs="宋体"/>
                <w:kern w:val="0"/>
                <w:sz w:val="24"/>
                <w:szCs w:val="24"/>
              </w:rPr>
              <w:t>1</w:t>
            </w:r>
            <w:r>
              <w:rPr>
                <w:rFonts w:hint="eastAsia" w:cs="宋体"/>
                <w:kern w:val="0"/>
                <w:sz w:val="24"/>
                <w:szCs w:val="24"/>
              </w:rPr>
              <w:t>月</w:t>
            </w:r>
          </w:p>
        </w:tc>
        <w:tc>
          <w:tcPr>
            <w:tcW w:w="1145" w:type="dxa"/>
            <w:vAlign w:val="center"/>
          </w:tcPr>
          <w:p>
            <w:pPr>
              <w:widowControl/>
              <w:ind w:firstLine="0" w:firstLineChars="0"/>
              <w:jc w:val="center"/>
              <w:rPr>
                <w:rFonts w:cs="宋体"/>
                <w:kern w:val="0"/>
                <w:sz w:val="24"/>
                <w:szCs w:val="24"/>
              </w:rPr>
            </w:pPr>
            <w:r>
              <w:rPr>
                <w:rFonts w:cs="宋体"/>
                <w:kern w:val="0"/>
                <w:sz w:val="24"/>
                <w:szCs w:val="24"/>
              </w:rPr>
              <w:t>2024</w:t>
            </w:r>
            <w:r>
              <w:rPr>
                <w:rFonts w:hint="eastAsia" w:cs="宋体"/>
                <w:kern w:val="0"/>
                <w:sz w:val="24"/>
                <w:szCs w:val="24"/>
              </w:rPr>
              <w:t>年</w:t>
            </w:r>
            <w:r>
              <w:rPr>
                <w:rFonts w:cs="宋体"/>
                <w:kern w:val="0"/>
                <w:sz w:val="24"/>
                <w:szCs w:val="24"/>
              </w:rPr>
              <w:t>5</w:t>
            </w:r>
            <w:r>
              <w:rPr>
                <w:rFonts w:hint="eastAsia" w:cs="宋体"/>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1188.26</w:t>
            </w:r>
          </w:p>
        </w:tc>
        <w:tc>
          <w:tcPr>
            <w:tcW w:w="1130" w:type="dxa"/>
            <w:vAlign w:val="center"/>
          </w:tcPr>
          <w:p>
            <w:pPr>
              <w:widowControl/>
              <w:ind w:firstLine="0" w:firstLineChars="0"/>
              <w:jc w:val="center"/>
              <w:rPr>
                <w:rFonts w:cs="宋体"/>
                <w:kern w:val="0"/>
                <w:sz w:val="24"/>
                <w:szCs w:val="24"/>
              </w:rPr>
            </w:pPr>
            <w:r>
              <w:rPr>
                <w:rFonts w:hint="eastAsia" w:cs="宋体"/>
                <w:kern w:val="0"/>
                <w:sz w:val="24"/>
                <w:szCs w:val="24"/>
              </w:rPr>
              <w:t>0.283</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被广州国资投资，应投资方要求迁到广州</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东莞光智通讯科技有限公司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新材料与新能源</w:t>
            </w:r>
          </w:p>
        </w:tc>
        <w:tc>
          <w:tcPr>
            <w:tcW w:w="716" w:type="dxa"/>
            <w:vAlign w:val="center"/>
          </w:tcPr>
          <w:p>
            <w:pPr>
              <w:widowControl/>
              <w:ind w:firstLine="0" w:firstLineChars="0"/>
              <w:jc w:val="center"/>
              <w:rPr>
                <w:rFonts w:cs="宋体"/>
                <w:color w:val="000000"/>
                <w:kern w:val="0"/>
                <w:sz w:val="24"/>
                <w:szCs w:val="24"/>
              </w:rPr>
            </w:pPr>
            <w:r>
              <w:rPr>
                <w:rFonts w:cs="宋体"/>
                <w:kern w:val="0"/>
                <w:sz w:val="24"/>
                <w:szCs w:val="24"/>
              </w:rPr>
              <w:t>2014</w:t>
            </w:r>
            <w:r>
              <w:rPr>
                <w:rFonts w:hint="eastAsia" w:cs="宋体"/>
                <w:kern w:val="0"/>
                <w:sz w:val="24"/>
                <w:szCs w:val="24"/>
              </w:rPr>
              <w:t>年</w:t>
            </w:r>
            <w:r>
              <w:rPr>
                <w:rFonts w:cs="宋体"/>
                <w:kern w:val="0"/>
                <w:sz w:val="24"/>
                <w:szCs w:val="24"/>
              </w:rPr>
              <w:t>7</w:t>
            </w:r>
            <w:r>
              <w:rPr>
                <w:rFonts w:hint="eastAsia" w:cs="宋体"/>
                <w:kern w:val="0"/>
                <w:sz w:val="24"/>
                <w:szCs w:val="24"/>
              </w:rPr>
              <w:t>月</w:t>
            </w:r>
          </w:p>
        </w:tc>
        <w:tc>
          <w:tcPr>
            <w:tcW w:w="1145" w:type="dxa"/>
            <w:vAlign w:val="center"/>
          </w:tcPr>
          <w:p>
            <w:pPr>
              <w:widowControl/>
              <w:ind w:firstLine="0" w:firstLineChars="0"/>
              <w:jc w:val="center"/>
              <w:rPr>
                <w:rFonts w:cs="宋体"/>
                <w:color w:val="000000"/>
                <w:kern w:val="0"/>
                <w:sz w:val="24"/>
                <w:szCs w:val="24"/>
              </w:rPr>
            </w:pPr>
            <w:r>
              <w:rPr>
                <w:rFonts w:cs="宋体"/>
                <w:kern w:val="0"/>
                <w:sz w:val="24"/>
                <w:szCs w:val="24"/>
              </w:rPr>
              <w:t>2024</w:t>
            </w:r>
            <w:r>
              <w:rPr>
                <w:rFonts w:hint="eastAsia" w:cs="宋体"/>
                <w:kern w:val="0"/>
                <w:sz w:val="24"/>
                <w:szCs w:val="24"/>
              </w:rPr>
              <w:t>年</w:t>
            </w:r>
            <w:r>
              <w:rPr>
                <w:rFonts w:cs="宋体"/>
                <w:kern w:val="0"/>
                <w:sz w:val="24"/>
                <w:szCs w:val="24"/>
              </w:rPr>
              <w:t>1</w:t>
            </w:r>
            <w:r>
              <w:rPr>
                <w:rFonts w:hint="eastAsia" w:cs="宋体"/>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kern w:val="0"/>
                <w:sz w:val="24"/>
                <w:szCs w:val="24"/>
              </w:rPr>
              <w:t>3330.60</w:t>
            </w:r>
          </w:p>
        </w:tc>
        <w:tc>
          <w:tcPr>
            <w:tcW w:w="1130" w:type="dxa"/>
            <w:vAlign w:val="center"/>
          </w:tcPr>
          <w:p>
            <w:pPr>
              <w:widowControl/>
              <w:ind w:firstLine="0" w:firstLineChars="0"/>
              <w:jc w:val="center"/>
              <w:rPr>
                <w:rFonts w:cs="宋体"/>
                <w:kern w:val="0"/>
                <w:sz w:val="24"/>
                <w:szCs w:val="24"/>
              </w:rPr>
            </w:pPr>
            <w:r>
              <w:rPr>
                <w:rFonts w:hint="eastAsia" w:cs="宋体"/>
                <w:kern w:val="0"/>
                <w:sz w:val="24"/>
                <w:szCs w:val="24"/>
              </w:rPr>
              <w:t>307.82</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被湖南国资投资，应投资方要求迁到湖南益阳</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湖南益阳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云鲸智能科技（东莞有限公司）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机器人与智能装备制造</w:t>
            </w:r>
          </w:p>
        </w:tc>
        <w:tc>
          <w:tcPr>
            <w:tcW w:w="716" w:type="dxa"/>
            <w:vAlign w:val="center"/>
          </w:tcPr>
          <w:p>
            <w:pPr>
              <w:widowControl/>
              <w:ind w:firstLine="0" w:firstLineChars="0"/>
              <w:jc w:val="center"/>
              <w:rPr>
                <w:rFonts w:cs="宋体"/>
                <w:kern w:val="0"/>
                <w:sz w:val="24"/>
                <w:szCs w:val="24"/>
              </w:rPr>
            </w:pPr>
            <w:r>
              <w:rPr>
                <w:rFonts w:cs="宋体"/>
                <w:color w:val="000000"/>
                <w:kern w:val="0"/>
                <w:sz w:val="24"/>
                <w:szCs w:val="24"/>
              </w:rPr>
              <w:t>2016</w:t>
            </w:r>
            <w:r>
              <w:rPr>
                <w:rFonts w:hint="eastAsia" w:cs="宋体"/>
                <w:color w:val="000000"/>
                <w:kern w:val="0"/>
                <w:sz w:val="24"/>
                <w:szCs w:val="24"/>
              </w:rPr>
              <w:t>年</w:t>
            </w:r>
            <w:r>
              <w:rPr>
                <w:rFonts w:cs="宋体"/>
                <w:color w:val="000000"/>
                <w:kern w:val="0"/>
                <w:sz w:val="24"/>
                <w:szCs w:val="24"/>
              </w:rPr>
              <w:t>10</w:t>
            </w:r>
            <w:r>
              <w:rPr>
                <w:rFonts w:hint="eastAsia" w:cs="宋体"/>
                <w:color w:val="000000"/>
                <w:kern w:val="0"/>
                <w:sz w:val="24"/>
                <w:szCs w:val="24"/>
              </w:rPr>
              <w:t>月</w:t>
            </w:r>
          </w:p>
        </w:tc>
        <w:tc>
          <w:tcPr>
            <w:tcW w:w="1145" w:type="dxa"/>
            <w:vAlign w:val="center"/>
          </w:tcPr>
          <w:p>
            <w:pPr>
              <w:widowControl/>
              <w:ind w:firstLine="0" w:firstLineChars="0"/>
              <w:jc w:val="center"/>
              <w:rPr>
                <w:rFonts w:cs="宋体"/>
                <w:kern w:val="0"/>
                <w:sz w:val="24"/>
                <w:szCs w:val="24"/>
              </w:rPr>
            </w:pPr>
            <w:r>
              <w:rPr>
                <w:rFonts w:cs="宋体"/>
                <w:color w:val="000000"/>
                <w:kern w:val="0"/>
                <w:sz w:val="24"/>
                <w:szCs w:val="24"/>
              </w:rPr>
              <w:t>2022</w:t>
            </w:r>
            <w:r>
              <w:rPr>
                <w:rFonts w:hint="eastAsia" w:cs="宋体"/>
                <w:color w:val="000000"/>
                <w:kern w:val="0"/>
                <w:sz w:val="24"/>
                <w:szCs w:val="24"/>
              </w:rPr>
              <w:t>年</w:t>
            </w:r>
            <w:r>
              <w:rPr>
                <w:rFonts w:cs="宋体"/>
                <w:color w:val="000000"/>
                <w:kern w:val="0"/>
                <w:sz w:val="24"/>
                <w:szCs w:val="24"/>
              </w:rPr>
              <w:t>12</w:t>
            </w:r>
            <w:r>
              <w:rPr>
                <w:rFonts w:hint="eastAsia" w:cs="宋体"/>
                <w:color w:val="000000"/>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color w:val="000000"/>
                <w:kern w:val="0"/>
                <w:sz w:val="24"/>
                <w:szCs w:val="24"/>
              </w:rPr>
              <w:t>137512.4</w:t>
            </w:r>
          </w:p>
        </w:tc>
        <w:tc>
          <w:tcPr>
            <w:tcW w:w="1130" w:type="dxa"/>
            <w:vAlign w:val="center"/>
          </w:tcPr>
          <w:p>
            <w:pPr>
              <w:widowControl/>
              <w:ind w:firstLine="0" w:firstLineChars="0"/>
              <w:jc w:val="center"/>
              <w:rPr>
                <w:rFonts w:cs="宋体"/>
                <w:kern w:val="0"/>
                <w:sz w:val="24"/>
                <w:szCs w:val="24"/>
              </w:rPr>
            </w:pPr>
            <w:r>
              <w:rPr>
                <w:rFonts w:cs="宋体"/>
                <w:kern w:val="0"/>
                <w:sz w:val="24"/>
                <w:szCs w:val="24"/>
              </w:rPr>
              <w:t>1895.1</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大部分留存松山湖，为稳定人才团队，部分研发部门搬到深圳</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284" w:type="dxa"/>
            <w:noWrap/>
            <w:vAlign w:val="center"/>
          </w:tcPr>
          <w:p>
            <w:pPr>
              <w:widowControl/>
              <w:ind w:firstLine="0" w:firstLineChars="0"/>
              <w:jc w:val="center"/>
              <w:rPr>
                <w:rFonts w:cs="宋体"/>
                <w:kern w:val="0"/>
                <w:sz w:val="24"/>
                <w:szCs w:val="24"/>
              </w:rPr>
            </w:pPr>
            <w:r>
              <w:rPr>
                <w:rFonts w:hint="eastAsia" w:cs="宋体"/>
                <w:kern w:val="0"/>
                <w:sz w:val="24"/>
                <w:szCs w:val="24"/>
              </w:rPr>
              <w:t>本末科技有限公司</w:t>
            </w:r>
          </w:p>
        </w:tc>
        <w:tc>
          <w:tcPr>
            <w:tcW w:w="1145" w:type="dxa"/>
            <w:noWrap/>
            <w:vAlign w:val="center"/>
          </w:tcPr>
          <w:p>
            <w:pPr>
              <w:widowControl/>
              <w:ind w:firstLine="0" w:firstLineChars="0"/>
              <w:jc w:val="center"/>
              <w:rPr>
                <w:rFonts w:cs="宋体"/>
                <w:kern w:val="0"/>
                <w:sz w:val="24"/>
                <w:szCs w:val="24"/>
              </w:rPr>
            </w:pPr>
            <w:r>
              <w:rPr>
                <w:rFonts w:hint="eastAsia" w:cs="宋体"/>
                <w:kern w:val="0"/>
                <w:sz w:val="24"/>
                <w:szCs w:val="24"/>
              </w:rPr>
              <w:t>机器人与智能装备制造</w:t>
            </w:r>
          </w:p>
        </w:tc>
        <w:tc>
          <w:tcPr>
            <w:tcW w:w="716" w:type="dxa"/>
            <w:vAlign w:val="center"/>
          </w:tcPr>
          <w:p>
            <w:pPr>
              <w:widowControl/>
              <w:ind w:firstLine="0" w:firstLineChars="0"/>
              <w:jc w:val="center"/>
              <w:rPr>
                <w:rFonts w:cs="宋体"/>
                <w:kern w:val="0"/>
                <w:sz w:val="24"/>
                <w:szCs w:val="24"/>
              </w:rPr>
            </w:pPr>
            <w:r>
              <w:rPr>
                <w:rFonts w:cs="宋体"/>
                <w:color w:val="000000"/>
                <w:kern w:val="0"/>
                <w:sz w:val="24"/>
                <w:szCs w:val="24"/>
              </w:rPr>
              <w:t>2020</w:t>
            </w:r>
            <w:r>
              <w:rPr>
                <w:rFonts w:hint="eastAsia" w:cs="宋体"/>
                <w:color w:val="000000"/>
                <w:kern w:val="0"/>
                <w:sz w:val="24"/>
                <w:szCs w:val="24"/>
              </w:rPr>
              <w:t>年</w:t>
            </w:r>
            <w:r>
              <w:rPr>
                <w:rFonts w:cs="宋体"/>
                <w:color w:val="000000"/>
                <w:kern w:val="0"/>
                <w:sz w:val="24"/>
                <w:szCs w:val="24"/>
              </w:rPr>
              <w:t>3</w:t>
            </w:r>
            <w:r>
              <w:rPr>
                <w:rFonts w:hint="eastAsia" w:cs="宋体"/>
                <w:color w:val="000000"/>
                <w:kern w:val="0"/>
                <w:sz w:val="24"/>
                <w:szCs w:val="24"/>
              </w:rPr>
              <w:t>月</w:t>
            </w:r>
          </w:p>
        </w:tc>
        <w:tc>
          <w:tcPr>
            <w:tcW w:w="1145" w:type="dxa"/>
            <w:vAlign w:val="center"/>
          </w:tcPr>
          <w:p>
            <w:pPr>
              <w:widowControl/>
              <w:ind w:firstLine="0" w:firstLineChars="0"/>
              <w:jc w:val="center"/>
              <w:rPr>
                <w:rFonts w:cs="宋体"/>
                <w:kern w:val="0"/>
                <w:sz w:val="24"/>
                <w:szCs w:val="24"/>
              </w:rPr>
            </w:pPr>
            <w:r>
              <w:rPr>
                <w:rFonts w:cs="宋体"/>
                <w:color w:val="000000"/>
                <w:kern w:val="0"/>
                <w:sz w:val="24"/>
                <w:szCs w:val="24"/>
              </w:rPr>
              <w:t>2025</w:t>
            </w:r>
            <w:r>
              <w:rPr>
                <w:rFonts w:hint="eastAsia" w:cs="宋体"/>
                <w:color w:val="000000"/>
                <w:kern w:val="0"/>
                <w:sz w:val="24"/>
                <w:szCs w:val="24"/>
              </w:rPr>
              <w:t>年</w:t>
            </w:r>
            <w:r>
              <w:rPr>
                <w:rFonts w:cs="宋体"/>
                <w:color w:val="000000"/>
                <w:kern w:val="0"/>
                <w:sz w:val="24"/>
                <w:szCs w:val="24"/>
              </w:rPr>
              <w:t>10</w:t>
            </w:r>
            <w:r>
              <w:rPr>
                <w:rFonts w:hint="eastAsia" w:cs="宋体"/>
                <w:color w:val="000000"/>
                <w:kern w:val="0"/>
                <w:sz w:val="24"/>
                <w:szCs w:val="24"/>
              </w:rPr>
              <w:t>月</w:t>
            </w:r>
          </w:p>
        </w:tc>
        <w:tc>
          <w:tcPr>
            <w:tcW w:w="1289" w:type="dxa"/>
            <w:noWrap/>
            <w:vAlign w:val="center"/>
          </w:tcPr>
          <w:p>
            <w:pPr>
              <w:widowControl/>
              <w:ind w:firstLine="0" w:firstLineChars="0"/>
              <w:jc w:val="center"/>
              <w:rPr>
                <w:rFonts w:cs="宋体"/>
                <w:color w:val="000000"/>
                <w:kern w:val="0"/>
                <w:sz w:val="24"/>
                <w:szCs w:val="24"/>
              </w:rPr>
            </w:pPr>
            <w:r>
              <w:rPr>
                <w:rFonts w:cs="宋体"/>
                <w:color w:val="000000"/>
                <w:kern w:val="0"/>
                <w:sz w:val="24"/>
                <w:szCs w:val="24"/>
              </w:rPr>
              <w:t>26000.00</w:t>
            </w:r>
          </w:p>
        </w:tc>
        <w:tc>
          <w:tcPr>
            <w:tcW w:w="1130" w:type="dxa"/>
            <w:vAlign w:val="center"/>
          </w:tcPr>
          <w:p>
            <w:pPr>
              <w:widowControl/>
              <w:ind w:firstLine="0" w:firstLineChars="0"/>
              <w:jc w:val="center"/>
              <w:rPr>
                <w:rFonts w:cs="宋体"/>
                <w:kern w:val="0"/>
                <w:sz w:val="24"/>
                <w:szCs w:val="24"/>
              </w:rPr>
            </w:pPr>
            <w:r>
              <w:rPr>
                <w:rFonts w:cs="宋体"/>
                <w:kern w:val="0"/>
                <w:sz w:val="24"/>
                <w:szCs w:val="24"/>
              </w:rPr>
              <w:t>1899</w:t>
            </w:r>
          </w:p>
        </w:tc>
        <w:tc>
          <w:tcPr>
            <w:tcW w:w="1805" w:type="dxa"/>
            <w:vAlign w:val="center"/>
          </w:tcPr>
          <w:p>
            <w:pPr>
              <w:widowControl/>
              <w:ind w:firstLine="0" w:firstLineChars="0"/>
              <w:jc w:val="center"/>
              <w:rPr>
                <w:rFonts w:cs="宋体"/>
                <w:kern w:val="0"/>
                <w:sz w:val="24"/>
                <w:szCs w:val="24"/>
              </w:rPr>
            </w:pPr>
            <w:r>
              <w:rPr>
                <w:rFonts w:hint="eastAsia" w:cs="宋体"/>
                <w:kern w:val="0"/>
                <w:sz w:val="24"/>
                <w:szCs w:val="24"/>
              </w:rPr>
              <w:t>被北京国资投资，大部分留存松山湖，融资主体搬到北京</w:t>
            </w:r>
          </w:p>
        </w:tc>
        <w:tc>
          <w:tcPr>
            <w:tcW w:w="1882" w:type="dxa"/>
            <w:vAlign w:val="center"/>
          </w:tcPr>
          <w:p>
            <w:pPr>
              <w:widowControl/>
              <w:ind w:firstLine="0" w:firstLineChars="0"/>
              <w:jc w:val="center"/>
              <w:rPr>
                <w:rFonts w:cs="宋体"/>
                <w:kern w:val="0"/>
                <w:sz w:val="24"/>
                <w:szCs w:val="24"/>
              </w:rPr>
            </w:pPr>
            <w:r>
              <w:rPr>
                <w:rFonts w:hint="eastAsia" w:cs="宋体"/>
                <w:kern w:val="0"/>
                <w:sz w:val="24"/>
                <w:szCs w:val="24"/>
              </w:rPr>
              <w:t>北京</w:t>
            </w:r>
          </w:p>
        </w:tc>
      </w:tr>
      <w:bookmarkEnd w:id="89"/>
    </w:tbl>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b/>
          <w:bCs/>
        </w:rPr>
      </w:pPr>
      <w:r>
        <w:rPr>
          <w:rFonts w:hint="eastAsia"/>
          <w:b/>
          <w:bCs/>
        </w:rPr>
        <w:t>2.针对引入项目的培育支撑体系、补贴方式仍有完善空间。</w:t>
      </w:r>
    </w:p>
    <w:p>
      <w:pPr>
        <w:keepNext w:val="0"/>
        <w:keepLines w:val="0"/>
        <w:pageBreakBefore w:val="0"/>
        <w:widowControl w:val="0"/>
        <w:kinsoku/>
        <w:wordWrap/>
        <w:overflowPunct/>
        <w:topLinePunct w:val="0"/>
        <w:autoSpaceDE/>
        <w:autoSpaceDN/>
        <w:bidi w:val="0"/>
        <w:adjustRightInd/>
        <w:snapToGrid/>
        <w:spacing w:line="560" w:lineRule="exact"/>
        <w:textAlignment w:val="auto"/>
      </w:pPr>
      <w:r>
        <w:t>对于创赛而言，通过大赛这样的平台引入项目仅是完成招商或者引入创新要素的第一步，更重要的是如何让引入的落地项目</w:t>
      </w:r>
      <w:r>
        <w:rPr>
          <w:rFonts w:hint="eastAsia"/>
        </w:rPr>
        <w:t>“能生根、长得大、留得住”</w:t>
      </w:r>
      <w:r>
        <w:t>以实现效益最大化。</w:t>
      </w:r>
      <w:r>
        <w:rPr>
          <w:rFonts w:hint="eastAsia"/>
        </w:rPr>
        <w:t>现有的大赛奖励机制的奖励重心虽已经从“鼓励落户”向“扎根壮大”侧重，但仍有完善空间，具体如下：</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一是支持手段相对单一，难以发挥财政资金的最大效益。</w:t>
      </w:r>
      <w:r>
        <w:rPr>
          <w:rFonts w:hint="eastAsia"/>
        </w:rPr>
        <w:t>创赛</w:t>
      </w:r>
      <w:r>
        <w:t>现有扶持以 “先锋奖” 现金奖励、落地租金补贴为主，股权投资、信贷联动、长期培育等多元化手段</w:t>
      </w:r>
      <w:r>
        <w:rPr>
          <w:rFonts w:hint="eastAsia"/>
        </w:rPr>
        <w:t>有待进一步深化应用</w:t>
      </w:r>
      <w:r>
        <w:t>，对企业的支持</w:t>
      </w:r>
      <w:r>
        <w:rPr>
          <w:rFonts w:hint="eastAsia"/>
        </w:rPr>
        <w:t>主要</w:t>
      </w:r>
      <w:r>
        <w:t>停留在短期资金层面，难以解决初创企业融资难、长期发展动力不足的核心问题。</w:t>
      </w:r>
      <w:r>
        <w:rPr>
          <w:rFonts w:hint="eastAsia"/>
        </w:rPr>
        <w:t>同时，</w:t>
      </w:r>
      <w:r>
        <w:t>与广州直接通过母基金直投、深圳联动创投机构不同，财政资金</w:t>
      </w:r>
      <w:r>
        <w:rPr>
          <w:rFonts w:hint="eastAsia"/>
          <w:b/>
          <w:bCs/>
        </w:rPr>
        <w:t>多为</w:t>
      </w:r>
      <w:r>
        <w:rPr>
          <w:b/>
          <w:bCs/>
        </w:rPr>
        <w:t>一次性</w:t>
      </w:r>
      <w:r>
        <w:t>拨付，</w:t>
      </w:r>
      <w:r>
        <w:rPr>
          <w:rFonts w:hint="eastAsia"/>
        </w:rPr>
        <w:t>项目基金投资较少，缺乏中试验证场地和场景应用支持，补改投方式应用不足，</w:t>
      </w:r>
      <w:r>
        <w:t>无法通过股权绑定与企业长期发展形成利益共同体，对企业的约束与激励不足</w:t>
      </w:r>
      <w:r>
        <w:rPr>
          <w:rFonts w:hint="eastAsia"/>
        </w:rPr>
        <w:t>，而对于财政资金而言，也未发挥出长期效益</w:t>
      </w:r>
      <w:r>
        <w:t>。</w:t>
      </w:r>
    </w:p>
    <w:p>
      <w:pPr>
        <w:ind w:firstLine="560"/>
        <w:jc w:val="center"/>
        <w:rPr>
          <w:rFonts w:eastAsia="黑体"/>
          <w:sz w:val="28"/>
          <w:szCs w:val="28"/>
        </w:rPr>
      </w:pPr>
      <w:r>
        <w:rPr>
          <w:rFonts w:hint="eastAsia" w:eastAsia="黑体"/>
          <w:sz w:val="28"/>
          <w:szCs w:val="28"/>
        </w:rPr>
        <w:t>表</w:t>
      </w:r>
      <w:r>
        <w:rPr>
          <w:rFonts w:eastAsia="黑体"/>
          <w:sz w:val="28"/>
          <w:szCs w:val="28"/>
        </w:rPr>
        <w:t>4-</w:t>
      </w:r>
      <w:r>
        <w:rPr>
          <w:rFonts w:hint="eastAsia" w:eastAsia="黑体"/>
          <w:sz w:val="28"/>
          <w:szCs w:val="28"/>
        </w:rPr>
        <w:t>4 园区政策与广深两地创赛奖励机制特点对比</w:t>
      </w:r>
    </w:p>
    <w:tbl>
      <w:tblPr>
        <w:tblStyle w:val="24"/>
        <w:tblW w:w="5883" w:type="pct"/>
        <w:jc w:val="center"/>
        <w:tblLayout w:type="autofit"/>
        <w:tblCellMar>
          <w:top w:w="0" w:type="dxa"/>
          <w:left w:w="108" w:type="dxa"/>
          <w:bottom w:w="0" w:type="dxa"/>
          <w:right w:w="108" w:type="dxa"/>
        </w:tblCellMar>
      </w:tblPr>
      <w:tblGrid>
        <w:gridCol w:w="1145"/>
        <w:gridCol w:w="1823"/>
        <w:gridCol w:w="7059"/>
      </w:tblGrid>
      <w:tr>
        <w:tblPrEx>
          <w:tblCellMar>
            <w:top w:w="0" w:type="dxa"/>
            <w:left w:w="108" w:type="dxa"/>
            <w:bottom w:w="0" w:type="dxa"/>
            <w:right w:w="108" w:type="dxa"/>
          </w:tblCellMar>
        </w:tblPrEx>
        <w:trPr>
          <w:trHeight w:val="552" w:hRule="atLeast"/>
          <w:tblHeader/>
          <w:jc w:val="center"/>
        </w:trPr>
        <w:tc>
          <w:tcPr>
            <w:tcW w:w="571"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城市</w:t>
            </w:r>
          </w:p>
        </w:tc>
        <w:tc>
          <w:tcPr>
            <w:tcW w:w="909"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核心扶持手段</w:t>
            </w:r>
          </w:p>
        </w:tc>
        <w:tc>
          <w:tcPr>
            <w:tcW w:w="3520" w:type="pct"/>
            <w:tcBorders>
              <w:top w:val="single" w:color="auto" w:sz="4" w:space="0"/>
              <w:left w:val="nil"/>
              <w:bottom w:val="single" w:color="auto" w:sz="4" w:space="0"/>
              <w:right w:val="single" w:color="auto" w:sz="4" w:space="0"/>
            </w:tcBorders>
            <w:vAlign w:val="center"/>
          </w:tcPr>
          <w:p>
            <w:pPr>
              <w:widowControl/>
              <w:ind w:firstLine="0" w:firstLineChars="0"/>
              <w:jc w:val="center"/>
              <w:rPr>
                <w:rFonts w:cs="宋体"/>
                <w:b/>
                <w:bCs/>
                <w:color w:val="000000"/>
                <w:kern w:val="0"/>
                <w:sz w:val="24"/>
                <w:szCs w:val="24"/>
              </w:rPr>
            </w:pPr>
            <w:r>
              <w:rPr>
                <w:rFonts w:hint="eastAsia" w:cs="宋体"/>
                <w:b/>
                <w:bCs/>
                <w:color w:val="000000"/>
                <w:kern w:val="0"/>
                <w:sz w:val="24"/>
                <w:szCs w:val="24"/>
              </w:rPr>
              <w:t>关键特征</w:t>
            </w:r>
          </w:p>
        </w:tc>
      </w:tr>
      <w:tr>
        <w:tblPrEx>
          <w:tblCellMar>
            <w:top w:w="0" w:type="dxa"/>
            <w:left w:w="108" w:type="dxa"/>
            <w:bottom w:w="0" w:type="dxa"/>
            <w:right w:w="108" w:type="dxa"/>
          </w:tblCellMar>
        </w:tblPrEx>
        <w:trPr>
          <w:trHeight w:val="1416" w:hRule="atLeast"/>
          <w:jc w:val="center"/>
        </w:trPr>
        <w:tc>
          <w:tcPr>
            <w:tcW w:w="571"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广州</w:t>
            </w:r>
          </w:p>
        </w:tc>
        <w:tc>
          <w:tcPr>
            <w:tcW w:w="909" w:type="pct"/>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bookmarkStart w:id="90" w:name="OLE_LINK12"/>
            <w:r>
              <w:rPr>
                <w:rFonts w:hint="eastAsia" w:cs="宋体"/>
                <w:color w:val="000000"/>
                <w:kern w:val="0"/>
                <w:sz w:val="24"/>
                <w:szCs w:val="24"/>
              </w:rPr>
              <w:t>现金奖励 + 股权投资</w:t>
            </w:r>
            <w:bookmarkEnd w:id="90"/>
            <w:r>
              <w:rPr>
                <w:rFonts w:hint="eastAsia" w:cs="宋体"/>
                <w:color w:val="000000"/>
                <w:kern w:val="0"/>
                <w:sz w:val="24"/>
                <w:szCs w:val="24"/>
              </w:rPr>
              <w:t xml:space="preserve"> + 投贷联动</w:t>
            </w:r>
          </w:p>
        </w:tc>
        <w:tc>
          <w:tcPr>
            <w:tcW w:w="3520" w:type="pct"/>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hint="eastAsia" w:cs="宋体"/>
                <w:color w:val="000000"/>
                <w:kern w:val="0"/>
                <w:sz w:val="24"/>
                <w:szCs w:val="24"/>
              </w:rPr>
              <w:t>1.</w:t>
            </w:r>
            <w:r>
              <w:rPr>
                <w:rFonts w:cs="宋体"/>
                <w:color w:val="000000"/>
                <w:kern w:val="0"/>
                <w:sz w:val="24"/>
                <w:szCs w:val="24"/>
              </w:rPr>
              <w:t>大赛组委会为本届赛事各项赛事安排总奖金为2000万元人民币</w:t>
            </w:r>
            <w:r>
              <w:rPr>
                <w:rFonts w:hint="eastAsia" w:cs="宋体"/>
                <w:color w:val="000000"/>
                <w:kern w:val="0"/>
                <w:sz w:val="24"/>
                <w:szCs w:val="24"/>
              </w:rPr>
              <w:t>；</w:t>
            </w:r>
          </w:p>
          <w:p>
            <w:pPr>
              <w:widowControl/>
              <w:ind w:firstLine="0" w:firstLineChars="0"/>
              <w:jc w:val="left"/>
              <w:rPr>
                <w:rFonts w:cs="宋体"/>
                <w:color w:val="000000"/>
                <w:kern w:val="0"/>
                <w:sz w:val="24"/>
                <w:szCs w:val="24"/>
              </w:rPr>
            </w:pPr>
            <w:r>
              <w:rPr>
                <w:rFonts w:hint="eastAsia" w:cs="宋体"/>
                <w:color w:val="000000"/>
                <w:kern w:val="0"/>
                <w:sz w:val="24"/>
                <w:szCs w:val="24"/>
              </w:rPr>
              <w:t>2.</w:t>
            </w:r>
            <w:r>
              <w:rPr>
                <w:rFonts w:cs="宋体"/>
                <w:color w:val="000000"/>
                <w:kern w:val="0"/>
                <w:sz w:val="24"/>
                <w:szCs w:val="24"/>
              </w:rPr>
              <w:t>对各项赛事决赛获得一、二、三等奖，报名参赛时成立时间在5年以内且未获得市场化机构投资的企业，广州科技创新母基金下设直投基金在开展尽职调查、投资决策委员会审议等规范程序后，对符合条件的企业给予最高不超过200万元的股权投资支持，对应持股比例不超过7%/家，总投资按年度1亿元的规模安排。</w:t>
            </w:r>
          </w:p>
          <w:p>
            <w:pPr>
              <w:pStyle w:val="45"/>
              <w:rPr>
                <w:rFonts w:hint="default"/>
              </w:rPr>
            </w:pPr>
            <w:r>
              <w:t>3. 大赛组委会为参赛单位提供创新创业咨询辅导、双创训练营、落地孵化、品牌宣传和媒介传播等服务。</w:t>
            </w:r>
          </w:p>
        </w:tc>
      </w:tr>
      <w:tr>
        <w:tblPrEx>
          <w:tblCellMar>
            <w:top w:w="0" w:type="dxa"/>
            <w:left w:w="108" w:type="dxa"/>
            <w:bottom w:w="0" w:type="dxa"/>
            <w:right w:w="108" w:type="dxa"/>
          </w:tblCellMar>
        </w:tblPrEx>
        <w:trPr>
          <w:trHeight w:val="1746" w:hRule="atLeast"/>
          <w:jc w:val="center"/>
        </w:trPr>
        <w:tc>
          <w:tcPr>
            <w:tcW w:w="571" w:type="pct"/>
            <w:tcBorders>
              <w:top w:val="nil"/>
              <w:left w:val="single" w:color="auto" w:sz="4" w:space="0"/>
              <w:bottom w:val="nil"/>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深圳</w:t>
            </w:r>
          </w:p>
        </w:tc>
        <w:tc>
          <w:tcPr>
            <w:tcW w:w="909" w:type="pct"/>
            <w:tcBorders>
              <w:top w:val="nil"/>
              <w:left w:val="nil"/>
              <w:bottom w:val="nil"/>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高额现金奖励 + 落地资助 + 全链条服务</w:t>
            </w:r>
          </w:p>
        </w:tc>
        <w:tc>
          <w:tcPr>
            <w:tcW w:w="3520" w:type="pct"/>
            <w:tcBorders>
              <w:top w:val="nil"/>
              <w:left w:val="nil"/>
              <w:bottom w:val="nil"/>
              <w:right w:val="single" w:color="auto" w:sz="4" w:space="0"/>
            </w:tcBorders>
            <w:vAlign w:val="center"/>
          </w:tcPr>
          <w:p>
            <w:pPr>
              <w:widowControl/>
              <w:ind w:firstLine="0" w:firstLineChars="0"/>
              <w:jc w:val="left"/>
              <w:rPr>
                <w:rFonts w:cs="宋体"/>
                <w:color w:val="000000"/>
                <w:kern w:val="0"/>
                <w:sz w:val="24"/>
                <w:szCs w:val="24"/>
              </w:rPr>
            </w:pPr>
            <w:r>
              <w:rPr>
                <w:rFonts w:hint="eastAsia" w:cs="宋体"/>
                <w:color w:val="000000"/>
                <w:kern w:val="0"/>
                <w:sz w:val="24"/>
                <w:szCs w:val="24"/>
              </w:rPr>
              <w:t>1.市级大赛总奖金超千万元，同时配套创业资助、场地孵化、人才政策等；</w:t>
            </w:r>
          </w:p>
          <w:p>
            <w:pPr>
              <w:widowControl/>
              <w:ind w:firstLine="0" w:firstLineChars="0"/>
              <w:jc w:val="left"/>
              <w:rPr>
                <w:rFonts w:cs="宋体"/>
                <w:color w:val="000000"/>
                <w:kern w:val="0"/>
                <w:sz w:val="24"/>
                <w:szCs w:val="24"/>
              </w:rPr>
            </w:pPr>
            <w:r>
              <w:rPr>
                <w:rFonts w:hint="eastAsia" w:cs="宋体"/>
                <w:color w:val="000000"/>
                <w:kern w:val="0"/>
                <w:sz w:val="24"/>
                <w:szCs w:val="24"/>
              </w:rPr>
              <w:t>2.团队组奖金与本地注册强绑定，落地企业可叠加享受最高 100 万元创业资助及 400 平方米孵化空间，形成 “奖励 + 落地 + 培育” 的闭环。</w:t>
            </w:r>
          </w:p>
        </w:tc>
      </w:tr>
      <w:tr>
        <w:tblPrEx>
          <w:tblCellMar>
            <w:top w:w="0" w:type="dxa"/>
            <w:left w:w="108" w:type="dxa"/>
            <w:bottom w:w="0" w:type="dxa"/>
            <w:right w:w="108" w:type="dxa"/>
          </w:tblCellMar>
        </w:tblPrEx>
        <w:trPr>
          <w:trHeight w:val="1746" w:hRule="atLeast"/>
          <w:jc w:val="center"/>
        </w:trPr>
        <w:tc>
          <w:tcPr>
            <w:tcW w:w="571" w:type="pct"/>
            <w:tcBorders>
              <w:top w:val="nil"/>
              <w:left w:val="single" w:color="auto" w:sz="4" w:space="0"/>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hint="eastAsia" w:cs="宋体"/>
                <w:color w:val="000000"/>
                <w:kern w:val="0"/>
                <w:sz w:val="24"/>
                <w:szCs w:val="24"/>
              </w:rPr>
              <w:t>松山湖</w:t>
            </w:r>
          </w:p>
        </w:tc>
        <w:tc>
          <w:tcPr>
            <w:tcW w:w="909" w:type="pct"/>
            <w:tcBorders>
              <w:top w:val="nil"/>
              <w:left w:val="nil"/>
              <w:bottom w:val="single" w:color="auto" w:sz="4" w:space="0"/>
              <w:right w:val="single" w:color="auto" w:sz="4" w:space="0"/>
            </w:tcBorders>
            <w:vAlign w:val="center"/>
          </w:tcPr>
          <w:p>
            <w:pPr>
              <w:widowControl/>
              <w:ind w:firstLine="0" w:firstLineChars="0"/>
              <w:jc w:val="center"/>
              <w:rPr>
                <w:rFonts w:cs="宋体"/>
                <w:color w:val="000000"/>
                <w:kern w:val="0"/>
                <w:sz w:val="24"/>
                <w:szCs w:val="24"/>
              </w:rPr>
            </w:pPr>
            <w:r>
              <w:rPr>
                <w:rFonts w:cs="宋体"/>
                <w:color w:val="000000"/>
                <w:kern w:val="0"/>
                <w:sz w:val="24"/>
                <w:szCs w:val="24"/>
              </w:rPr>
              <w:t>现金奖励 +股权投资</w:t>
            </w:r>
            <w:r>
              <w:rPr>
                <w:rFonts w:hint="eastAsia" w:cs="宋体"/>
                <w:color w:val="000000"/>
                <w:kern w:val="0"/>
                <w:sz w:val="24"/>
                <w:szCs w:val="24"/>
              </w:rPr>
              <w:t>+成长激励</w:t>
            </w:r>
          </w:p>
        </w:tc>
        <w:tc>
          <w:tcPr>
            <w:tcW w:w="3520" w:type="pct"/>
            <w:tcBorders>
              <w:top w:val="nil"/>
              <w:left w:val="nil"/>
              <w:bottom w:val="single" w:color="auto" w:sz="4" w:space="0"/>
              <w:right w:val="single" w:color="auto" w:sz="4" w:space="0"/>
            </w:tcBorders>
            <w:vAlign w:val="center"/>
          </w:tcPr>
          <w:p>
            <w:pPr>
              <w:widowControl/>
              <w:ind w:firstLine="0" w:firstLineChars="0"/>
              <w:jc w:val="left"/>
              <w:rPr>
                <w:rFonts w:cs="宋体"/>
                <w:color w:val="000000"/>
                <w:kern w:val="0"/>
                <w:sz w:val="24"/>
                <w:szCs w:val="24"/>
              </w:rPr>
            </w:pPr>
            <w:r>
              <w:rPr>
                <w:rFonts w:hint="eastAsia" w:cs="宋体"/>
                <w:color w:val="000000"/>
                <w:kern w:val="0"/>
                <w:sz w:val="24"/>
                <w:szCs w:val="24"/>
              </w:rPr>
              <w:t>1.大赛设置落地奖励、租金补贴等；自2025年起设置落地奖励、成长奖励、里程碑奖励；</w:t>
            </w:r>
          </w:p>
          <w:p>
            <w:pPr>
              <w:widowControl/>
              <w:ind w:firstLine="0" w:firstLineChars="0"/>
              <w:jc w:val="left"/>
              <w:rPr>
                <w:rFonts w:cs="宋体"/>
                <w:color w:val="000000"/>
                <w:kern w:val="0"/>
                <w:sz w:val="24"/>
                <w:szCs w:val="24"/>
              </w:rPr>
            </w:pPr>
            <w:r>
              <w:rPr>
                <w:rFonts w:hint="eastAsia" w:cs="宋体"/>
                <w:color w:val="000000"/>
                <w:kern w:val="0"/>
                <w:sz w:val="24"/>
                <w:szCs w:val="24"/>
              </w:rPr>
              <w:t>2.2025年首次设置对于大赛获奖项目提供不低于100万元的基金直投，目前暂未扶持项目。</w:t>
            </w:r>
          </w:p>
        </w:tc>
      </w:tr>
    </w:tbl>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pPr>
      <w:r>
        <w:rPr>
          <w:rFonts w:hint="eastAsia"/>
          <w:b/>
          <w:bCs/>
        </w:rPr>
        <w:t>二是目前通过分析引入项目的奖励，更多侧重于资金奖励和租金补贴，软性的辅导支撑有待完善</w:t>
      </w:r>
      <w:r>
        <w:rPr>
          <w:rFonts w:hint="eastAsia"/>
        </w:rPr>
        <w:t>。尤其是对于外部项目融入园区内部的产业链条，缺乏有力引导和支持。以2025年为例，奖项设置涵盖</w:t>
      </w:r>
      <w:r>
        <w:t>特等奖</w:t>
      </w:r>
      <w:r>
        <w:rPr>
          <w:rFonts w:hint="eastAsia"/>
        </w:rPr>
        <w:t>、</w:t>
      </w:r>
      <w:r>
        <w:t>优秀青年创业奖、优秀港澳创业奖</w:t>
      </w:r>
      <w:r>
        <w:rPr>
          <w:rFonts w:hint="eastAsia"/>
        </w:rPr>
        <w:t>，</w:t>
      </w:r>
      <w:r>
        <w:t>80强先锋奖</w:t>
      </w:r>
      <w:r>
        <w:rPr>
          <w:rFonts w:hint="eastAsia"/>
        </w:rPr>
        <w:t>等，更多侧重于资金奖励。虽然</w:t>
      </w:r>
      <w:r>
        <w:t>80强先锋奖项目落地后可享受落地服务包服务，</w:t>
      </w:r>
      <w:r>
        <w:rPr>
          <w:rFonts w:hint="eastAsia"/>
        </w:rPr>
        <w:t>包括“</w:t>
      </w:r>
      <w:r>
        <w:t>科创属性提升工程专题培训、产学研项目对接、股权债权融资机构对接、专属宣传报道、优先协调园区公租房租赁和国际人才社区住房申购</w:t>
      </w:r>
      <w:r>
        <w:rPr>
          <w:rFonts w:hint="eastAsia"/>
        </w:rPr>
        <w:t>”</w:t>
      </w:r>
      <w:r>
        <w:t>。</w:t>
      </w:r>
      <w:r>
        <w:rPr>
          <w:rFonts w:hint="eastAsia"/>
        </w:rPr>
        <w:t>但上述服务对于初创团队尤其是园区外部团队寻找客户形成业务，融入本地产业链条或龙头企业供应链，在本地快速形成自我造血能力的针对性不足。</w:t>
      </w:r>
    </w:p>
    <w:p>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b w:val="0"/>
          <w:bCs w:val="0"/>
          <w:kern w:val="0"/>
        </w:rPr>
      </w:pPr>
      <w:bookmarkStart w:id="91" w:name="_Toc20443"/>
      <w:bookmarkStart w:id="92" w:name="_Toc29646"/>
      <w:bookmarkStart w:id="93" w:name="_Toc232169766"/>
      <w:bookmarkStart w:id="94" w:name="OLE_LINK20"/>
      <w:r>
        <w:rPr>
          <w:rFonts w:hint="eastAsia"/>
          <w:b w:val="0"/>
          <w:bCs w:val="0"/>
          <w:kern w:val="0"/>
        </w:rPr>
        <w:t>（三）大赛品牌的宣传思路有待进一步厘清，个别赛道的设立有待商榷</w:t>
      </w:r>
      <w:bookmarkEnd w:id="91"/>
      <w:bookmarkEnd w:id="92"/>
      <w:bookmarkEnd w:id="93"/>
    </w:p>
    <w:p>
      <w:pPr>
        <w:keepNext w:val="0"/>
        <w:keepLines w:val="0"/>
        <w:pageBreakBefore w:val="0"/>
        <w:widowControl w:val="0"/>
        <w:kinsoku/>
        <w:wordWrap/>
        <w:overflowPunct/>
        <w:topLinePunct w:val="0"/>
        <w:autoSpaceDE/>
        <w:autoSpaceDN/>
        <w:bidi w:val="0"/>
        <w:adjustRightInd/>
        <w:snapToGrid/>
        <w:spacing w:line="560" w:lineRule="exact"/>
        <w:textAlignment w:val="auto"/>
      </w:pPr>
      <w:bookmarkStart w:id="95" w:name="OLE_LINK22"/>
      <w:r>
        <w:rPr>
          <w:rFonts w:hint="eastAsia"/>
        </w:rPr>
        <w:t>项目宣传的对象需要精准并且持续才能逐步树立品牌效应，为后续参赛项目、引入项目形成较低的沟通成本。并且通过持续性的宣传，可以为松山湖本土与内外部创新源、创新载体搭建相对稳定的沟通渠道、政策宣传渠道和项目引入渠道。</w:t>
      </w:r>
    </w:p>
    <w:bookmarkEnd w:id="95"/>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rPr>
        <w:t>通过分析近三年的宣传区域，可以发现当前赛事宣传的方向性有待于进一步梳理。2023年-2025年以来，宣传地区覆盖北京、上海、成都、武汉等10个地市，2023年宣传了北上及香港后，再未开展后续宣传。针对成都连续两年宣传后，2025年予以暂停。2024年则针对深圳的片区开展密集的宣传。整体上来看，近3年的宣传方向性不清晰，虽然宣传投向与当届举办主题有一定的关联，但是也反映出，当前大赛的举办思路上，尤其是对莞外的创新区域宣传上，尚未构建出稳定的创新源头引入渠道，并构建品牌影响力。</w:t>
      </w:r>
    </w:p>
    <w:p>
      <w:pPr>
        <w:ind w:firstLine="560"/>
        <w:jc w:val="center"/>
        <w:rPr>
          <w:rFonts w:eastAsia="黑体"/>
          <w:sz w:val="28"/>
          <w:szCs w:val="28"/>
        </w:rPr>
      </w:pPr>
      <w:r>
        <w:rPr>
          <w:rFonts w:hint="eastAsia" w:eastAsia="黑体"/>
          <w:sz w:val="28"/>
          <w:szCs w:val="28"/>
        </w:rPr>
        <w:t>表</w:t>
      </w:r>
      <w:r>
        <w:rPr>
          <w:rFonts w:eastAsia="黑体"/>
          <w:sz w:val="28"/>
          <w:szCs w:val="28"/>
        </w:rPr>
        <w:t>4-</w:t>
      </w:r>
      <w:r>
        <w:rPr>
          <w:rFonts w:hint="eastAsia" w:eastAsia="黑体"/>
          <w:sz w:val="28"/>
          <w:szCs w:val="28"/>
        </w:rPr>
        <w:t>5</w:t>
      </w:r>
      <w:r>
        <w:rPr>
          <w:rFonts w:eastAsia="黑体"/>
          <w:sz w:val="28"/>
          <w:szCs w:val="28"/>
        </w:rPr>
        <w:t xml:space="preserve">  </w:t>
      </w:r>
      <w:r>
        <w:rPr>
          <w:rFonts w:hint="eastAsia" w:eastAsia="黑体"/>
          <w:sz w:val="28"/>
          <w:szCs w:val="28"/>
        </w:rPr>
        <w:t>近</w:t>
      </w:r>
      <w:r>
        <w:rPr>
          <w:rFonts w:eastAsia="黑体"/>
          <w:sz w:val="28"/>
          <w:szCs w:val="28"/>
        </w:rPr>
        <w:t>3</w:t>
      </w:r>
      <w:r>
        <w:rPr>
          <w:rFonts w:hint="eastAsia" w:eastAsia="黑体"/>
          <w:sz w:val="28"/>
          <w:szCs w:val="28"/>
        </w:rPr>
        <w:t>年宣传面向区域覆盖情况</w:t>
      </w:r>
    </w:p>
    <w:tbl>
      <w:tblPr>
        <w:tblStyle w:val="24"/>
        <w:tblW w:w="5000" w:type="pct"/>
        <w:jc w:val="center"/>
        <w:tblLayout w:type="autofit"/>
        <w:tblCellMar>
          <w:top w:w="0" w:type="dxa"/>
          <w:left w:w="108" w:type="dxa"/>
          <w:bottom w:w="0" w:type="dxa"/>
          <w:right w:w="108" w:type="dxa"/>
        </w:tblCellMar>
      </w:tblPr>
      <w:tblGrid>
        <w:gridCol w:w="701"/>
        <w:gridCol w:w="4092"/>
        <w:gridCol w:w="3729"/>
      </w:tblGrid>
      <w:tr>
        <w:tblPrEx>
          <w:tblCellMar>
            <w:top w:w="0" w:type="dxa"/>
            <w:left w:w="108" w:type="dxa"/>
            <w:bottom w:w="0" w:type="dxa"/>
            <w:right w:w="108" w:type="dxa"/>
          </w:tblCellMar>
        </w:tblPrEx>
        <w:trPr>
          <w:trHeight w:val="276" w:hRule="atLeast"/>
          <w:tblHeader/>
          <w:jc w:val="center"/>
        </w:trPr>
        <w:tc>
          <w:tcPr>
            <w:tcW w:w="411" w:type="pct"/>
            <w:tcBorders>
              <w:top w:val="single" w:color="auto" w:sz="4" w:space="0"/>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序号</w:t>
            </w:r>
          </w:p>
        </w:tc>
        <w:tc>
          <w:tcPr>
            <w:tcW w:w="2401" w:type="pct"/>
            <w:tcBorders>
              <w:top w:val="single" w:color="auto" w:sz="4" w:space="0"/>
              <w:left w:val="nil"/>
              <w:bottom w:val="single" w:color="auto" w:sz="4" w:space="0"/>
              <w:right w:val="single" w:color="auto" w:sz="4" w:space="0"/>
            </w:tcBorders>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分类</w:t>
            </w:r>
          </w:p>
        </w:tc>
        <w:tc>
          <w:tcPr>
            <w:tcW w:w="2189" w:type="pct"/>
            <w:tcBorders>
              <w:top w:val="single" w:color="auto" w:sz="4" w:space="0"/>
              <w:left w:val="nil"/>
              <w:bottom w:val="single" w:color="auto" w:sz="4" w:space="0"/>
              <w:right w:val="single" w:color="auto" w:sz="4" w:space="0"/>
            </w:tcBorders>
            <w:vAlign w:val="center"/>
          </w:tcPr>
          <w:p>
            <w:pPr>
              <w:widowControl/>
              <w:adjustRightInd w:val="0"/>
              <w:ind w:firstLine="0" w:firstLineChars="0"/>
              <w:jc w:val="center"/>
              <w:rPr>
                <w:rFonts w:cs="宋体"/>
                <w:b/>
                <w:bCs/>
                <w:kern w:val="0"/>
                <w:sz w:val="24"/>
                <w:szCs w:val="15"/>
              </w:rPr>
            </w:pPr>
            <w:r>
              <w:rPr>
                <w:rFonts w:hint="eastAsia" w:cs="宋体"/>
                <w:b/>
                <w:bCs/>
                <w:kern w:val="0"/>
                <w:sz w:val="24"/>
                <w:szCs w:val="15"/>
              </w:rPr>
              <w:t>城市 / 区域</w:t>
            </w:r>
          </w:p>
        </w:tc>
      </w:tr>
      <w:tr>
        <w:tblPrEx>
          <w:tblCellMar>
            <w:top w:w="0" w:type="dxa"/>
            <w:left w:w="108" w:type="dxa"/>
            <w:bottom w:w="0" w:type="dxa"/>
            <w:right w:w="108" w:type="dxa"/>
          </w:tblCellMar>
        </w:tblPrEx>
        <w:trPr>
          <w:trHeight w:val="276" w:hRule="atLeast"/>
          <w:jc w:val="center"/>
        </w:trPr>
        <w:tc>
          <w:tcPr>
            <w:tcW w:w="411" w:type="pct"/>
            <w:tcBorders>
              <w:top w:val="nil"/>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kern w:val="0"/>
                <w:sz w:val="24"/>
                <w:szCs w:val="15"/>
              </w:rPr>
            </w:pPr>
            <w:r>
              <w:rPr>
                <w:rFonts w:hint="eastAsia" w:cs="宋体"/>
                <w:kern w:val="0"/>
                <w:sz w:val="24"/>
                <w:szCs w:val="15"/>
              </w:rPr>
              <w:t>1</w:t>
            </w:r>
          </w:p>
        </w:tc>
        <w:tc>
          <w:tcPr>
            <w:tcW w:w="2401"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三年均覆盖</w:t>
            </w:r>
          </w:p>
        </w:tc>
        <w:tc>
          <w:tcPr>
            <w:tcW w:w="2189"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深圳、西安、武汉</w:t>
            </w:r>
          </w:p>
        </w:tc>
      </w:tr>
      <w:tr>
        <w:tblPrEx>
          <w:tblCellMar>
            <w:top w:w="0" w:type="dxa"/>
            <w:left w:w="108" w:type="dxa"/>
            <w:bottom w:w="0" w:type="dxa"/>
            <w:right w:w="108" w:type="dxa"/>
          </w:tblCellMar>
        </w:tblPrEx>
        <w:trPr>
          <w:trHeight w:val="552" w:hRule="atLeast"/>
          <w:jc w:val="center"/>
        </w:trPr>
        <w:tc>
          <w:tcPr>
            <w:tcW w:w="411" w:type="pct"/>
            <w:tcBorders>
              <w:top w:val="nil"/>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kern w:val="0"/>
                <w:sz w:val="24"/>
                <w:szCs w:val="15"/>
              </w:rPr>
            </w:pPr>
            <w:r>
              <w:rPr>
                <w:rFonts w:hint="eastAsia" w:cs="宋体"/>
                <w:kern w:val="0"/>
                <w:sz w:val="24"/>
                <w:szCs w:val="15"/>
              </w:rPr>
              <w:t>2</w:t>
            </w:r>
          </w:p>
        </w:tc>
        <w:tc>
          <w:tcPr>
            <w:tcW w:w="2401" w:type="pct"/>
            <w:tcBorders>
              <w:top w:val="nil"/>
              <w:left w:val="nil"/>
              <w:bottom w:val="single" w:color="auto" w:sz="4" w:space="0"/>
              <w:right w:val="single" w:color="auto" w:sz="4" w:space="0"/>
            </w:tcBorders>
            <w:vAlign w:val="center"/>
          </w:tcPr>
          <w:p>
            <w:pPr>
              <w:widowControl/>
              <w:adjustRightInd w:val="0"/>
              <w:ind w:firstLine="0" w:firstLineChars="0"/>
              <w:jc w:val="left"/>
              <w:rPr>
                <w:rFonts w:cs="宋体"/>
                <w:kern w:val="0"/>
                <w:sz w:val="24"/>
                <w:szCs w:val="15"/>
              </w:rPr>
            </w:pPr>
            <w:r>
              <w:rPr>
                <w:rFonts w:hint="eastAsia" w:cs="宋体"/>
                <w:kern w:val="0"/>
                <w:sz w:val="24"/>
                <w:szCs w:val="15"/>
              </w:rPr>
              <w:t>2023 年覆盖，后续未覆盖</w:t>
            </w:r>
          </w:p>
        </w:tc>
        <w:tc>
          <w:tcPr>
            <w:tcW w:w="2189"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北京、上海、香港</w:t>
            </w:r>
          </w:p>
        </w:tc>
      </w:tr>
      <w:tr>
        <w:tblPrEx>
          <w:tblCellMar>
            <w:top w:w="0" w:type="dxa"/>
            <w:left w:w="108" w:type="dxa"/>
            <w:bottom w:w="0" w:type="dxa"/>
            <w:right w:w="108" w:type="dxa"/>
          </w:tblCellMar>
        </w:tblPrEx>
        <w:trPr>
          <w:trHeight w:val="552" w:hRule="atLeast"/>
          <w:jc w:val="center"/>
        </w:trPr>
        <w:tc>
          <w:tcPr>
            <w:tcW w:w="411" w:type="pct"/>
            <w:tcBorders>
              <w:top w:val="nil"/>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kern w:val="0"/>
                <w:sz w:val="24"/>
                <w:szCs w:val="15"/>
              </w:rPr>
            </w:pPr>
            <w:r>
              <w:rPr>
                <w:rFonts w:hint="eastAsia" w:cs="宋体"/>
                <w:kern w:val="0"/>
                <w:sz w:val="24"/>
                <w:szCs w:val="15"/>
              </w:rPr>
              <w:t>3</w:t>
            </w:r>
          </w:p>
        </w:tc>
        <w:tc>
          <w:tcPr>
            <w:tcW w:w="2401" w:type="pct"/>
            <w:tcBorders>
              <w:top w:val="nil"/>
              <w:left w:val="nil"/>
              <w:bottom w:val="single" w:color="auto" w:sz="4" w:space="0"/>
              <w:right w:val="single" w:color="auto" w:sz="4" w:space="0"/>
            </w:tcBorders>
            <w:vAlign w:val="center"/>
          </w:tcPr>
          <w:p>
            <w:pPr>
              <w:widowControl/>
              <w:adjustRightInd w:val="0"/>
              <w:ind w:firstLine="0" w:firstLineChars="0"/>
              <w:jc w:val="left"/>
              <w:rPr>
                <w:rFonts w:cs="宋体"/>
                <w:kern w:val="0"/>
                <w:sz w:val="24"/>
                <w:szCs w:val="15"/>
              </w:rPr>
            </w:pPr>
            <w:r>
              <w:rPr>
                <w:rFonts w:hint="eastAsia" w:cs="宋体"/>
                <w:kern w:val="0"/>
                <w:sz w:val="24"/>
                <w:szCs w:val="15"/>
              </w:rPr>
              <w:t>2023年、2024年覆盖，2025 年未覆盖</w:t>
            </w:r>
          </w:p>
        </w:tc>
        <w:tc>
          <w:tcPr>
            <w:tcW w:w="2189"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成都</w:t>
            </w:r>
          </w:p>
        </w:tc>
      </w:tr>
      <w:tr>
        <w:tblPrEx>
          <w:tblCellMar>
            <w:top w:w="0" w:type="dxa"/>
            <w:left w:w="108" w:type="dxa"/>
            <w:bottom w:w="0" w:type="dxa"/>
            <w:right w:w="108" w:type="dxa"/>
          </w:tblCellMar>
        </w:tblPrEx>
        <w:trPr>
          <w:trHeight w:val="552" w:hRule="atLeast"/>
          <w:jc w:val="center"/>
        </w:trPr>
        <w:tc>
          <w:tcPr>
            <w:tcW w:w="411" w:type="pct"/>
            <w:tcBorders>
              <w:top w:val="nil"/>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kern w:val="0"/>
                <w:sz w:val="24"/>
                <w:szCs w:val="15"/>
              </w:rPr>
            </w:pPr>
            <w:r>
              <w:rPr>
                <w:rFonts w:hint="eastAsia" w:cs="宋体"/>
                <w:kern w:val="0"/>
                <w:sz w:val="24"/>
                <w:szCs w:val="15"/>
              </w:rPr>
              <w:t>4</w:t>
            </w:r>
          </w:p>
        </w:tc>
        <w:tc>
          <w:tcPr>
            <w:tcW w:w="2401" w:type="pct"/>
            <w:tcBorders>
              <w:top w:val="nil"/>
              <w:left w:val="nil"/>
              <w:bottom w:val="single" w:color="auto" w:sz="4" w:space="0"/>
              <w:right w:val="single" w:color="auto" w:sz="4" w:space="0"/>
            </w:tcBorders>
            <w:vAlign w:val="center"/>
          </w:tcPr>
          <w:p>
            <w:pPr>
              <w:widowControl/>
              <w:adjustRightInd w:val="0"/>
              <w:ind w:firstLine="0" w:firstLineChars="0"/>
              <w:jc w:val="left"/>
              <w:rPr>
                <w:rFonts w:cs="宋体"/>
                <w:kern w:val="0"/>
                <w:sz w:val="24"/>
                <w:szCs w:val="15"/>
              </w:rPr>
            </w:pPr>
            <w:r>
              <w:rPr>
                <w:rFonts w:hint="eastAsia" w:cs="宋体"/>
                <w:kern w:val="0"/>
                <w:sz w:val="24"/>
                <w:szCs w:val="15"/>
              </w:rPr>
              <w:t>仅 2024 年独有</w:t>
            </w:r>
          </w:p>
        </w:tc>
        <w:tc>
          <w:tcPr>
            <w:tcW w:w="2189"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深圳南山、福田、宝安、龙华、光明新区（深圳细分区域）</w:t>
            </w:r>
          </w:p>
        </w:tc>
      </w:tr>
      <w:tr>
        <w:tblPrEx>
          <w:tblCellMar>
            <w:top w:w="0" w:type="dxa"/>
            <w:left w:w="108" w:type="dxa"/>
            <w:bottom w:w="0" w:type="dxa"/>
            <w:right w:w="108" w:type="dxa"/>
          </w:tblCellMar>
        </w:tblPrEx>
        <w:trPr>
          <w:trHeight w:val="552" w:hRule="atLeast"/>
          <w:jc w:val="center"/>
        </w:trPr>
        <w:tc>
          <w:tcPr>
            <w:tcW w:w="411" w:type="pct"/>
            <w:tcBorders>
              <w:top w:val="nil"/>
              <w:left w:val="single" w:color="auto" w:sz="4" w:space="0"/>
              <w:bottom w:val="single" w:color="auto" w:sz="4" w:space="0"/>
              <w:right w:val="single" w:color="auto" w:sz="4" w:space="0"/>
            </w:tcBorders>
            <w:noWrap/>
            <w:vAlign w:val="center"/>
          </w:tcPr>
          <w:p>
            <w:pPr>
              <w:widowControl/>
              <w:adjustRightInd w:val="0"/>
              <w:ind w:firstLine="0" w:firstLineChars="0"/>
              <w:jc w:val="center"/>
              <w:rPr>
                <w:rFonts w:cs="宋体"/>
                <w:kern w:val="0"/>
                <w:sz w:val="24"/>
                <w:szCs w:val="15"/>
              </w:rPr>
            </w:pPr>
            <w:r>
              <w:rPr>
                <w:rFonts w:hint="eastAsia" w:cs="宋体"/>
                <w:kern w:val="0"/>
                <w:sz w:val="24"/>
                <w:szCs w:val="15"/>
              </w:rPr>
              <w:t>5</w:t>
            </w:r>
          </w:p>
        </w:tc>
        <w:tc>
          <w:tcPr>
            <w:tcW w:w="2401" w:type="pct"/>
            <w:tcBorders>
              <w:top w:val="nil"/>
              <w:left w:val="nil"/>
              <w:bottom w:val="single" w:color="auto" w:sz="4" w:space="0"/>
              <w:right w:val="single" w:color="auto" w:sz="4" w:space="0"/>
            </w:tcBorders>
            <w:vAlign w:val="center"/>
          </w:tcPr>
          <w:p>
            <w:pPr>
              <w:widowControl/>
              <w:adjustRightInd w:val="0"/>
              <w:ind w:firstLine="0" w:firstLineChars="0"/>
              <w:rPr>
                <w:rFonts w:cs="宋体"/>
                <w:kern w:val="0"/>
                <w:sz w:val="24"/>
                <w:szCs w:val="15"/>
              </w:rPr>
            </w:pPr>
            <w:r>
              <w:rPr>
                <w:rFonts w:hint="eastAsia" w:cs="宋体"/>
                <w:kern w:val="0"/>
                <w:sz w:val="24"/>
                <w:szCs w:val="15"/>
              </w:rPr>
              <w:t>2024+2025 覆盖，2023 年未覆盖</w:t>
            </w:r>
          </w:p>
        </w:tc>
        <w:tc>
          <w:tcPr>
            <w:tcW w:w="2189" w:type="pct"/>
            <w:tcBorders>
              <w:top w:val="nil"/>
              <w:left w:val="nil"/>
              <w:bottom w:val="single" w:color="auto" w:sz="4" w:space="0"/>
              <w:right w:val="single" w:color="auto" w:sz="4" w:space="0"/>
            </w:tcBorders>
            <w:vAlign w:val="center"/>
          </w:tcPr>
          <w:p>
            <w:pPr>
              <w:widowControl/>
              <w:adjustRightInd w:val="0"/>
              <w:ind w:firstLine="0" w:firstLineChars="0"/>
              <w:jc w:val="center"/>
              <w:rPr>
                <w:rFonts w:cs="宋体"/>
                <w:kern w:val="0"/>
                <w:sz w:val="24"/>
                <w:szCs w:val="15"/>
              </w:rPr>
            </w:pPr>
            <w:r>
              <w:rPr>
                <w:rFonts w:hint="eastAsia" w:cs="宋体"/>
                <w:kern w:val="0"/>
                <w:sz w:val="24"/>
                <w:szCs w:val="15"/>
              </w:rPr>
              <w:t>广州、长沙、东莞松山湖</w:t>
            </w:r>
          </w:p>
        </w:tc>
      </w:tr>
    </w:tbl>
    <w:p>
      <w:r>
        <w:rPr>
          <w:rFonts w:hint="eastAsia"/>
        </w:rPr>
        <w:t>此外，大赛于2024年首次在举办方案中设置“</w:t>
      </w:r>
      <w:r>
        <w:t>女性专场</w:t>
      </w:r>
      <w:r>
        <w:rPr>
          <w:rFonts w:hint="eastAsia"/>
        </w:rPr>
        <w:t>”，并在2023年、2024年连续两年分别评选出6、3个奖项。从大赛本身的性质来看，“女性”本身并不能单独构成一个赛道项目，市场也并不会因为是女性主导的创业团队给予特殊激励。因此，设置该赛道和奖项是值得商榷的。</w:t>
      </w:r>
    </w:p>
    <w:bookmarkEnd w:id="94"/>
    <w:p>
      <w:pPr>
        <w:pStyle w:val="2"/>
        <w:keepNext w:val="0"/>
        <w:keepLines w:val="0"/>
        <w:widowControl w:val="0"/>
        <w:tabs>
          <w:tab w:val="left" w:pos="5048"/>
        </w:tabs>
        <w:ind w:firstLine="640"/>
      </w:pPr>
      <w:bookmarkStart w:id="96" w:name="_Toc12517"/>
      <w:bookmarkStart w:id="97" w:name="_Toc232169767"/>
      <w:bookmarkStart w:id="98" w:name="_Toc28375"/>
      <w:r>
        <w:rPr>
          <w:rFonts w:hint="eastAsia"/>
        </w:rPr>
        <w:t>五、相关建议</w:t>
      </w:r>
      <w:bookmarkEnd w:id="96"/>
      <w:bookmarkEnd w:id="97"/>
      <w:bookmarkEnd w:id="98"/>
    </w:p>
    <w:p>
      <w:pPr>
        <w:pStyle w:val="3"/>
        <w:keepNext w:val="0"/>
        <w:keepLines w:val="0"/>
        <w:jc w:val="left"/>
        <w:rPr>
          <w:b w:val="0"/>
          <w:bCs w:val="0"/>
          <w:kern w:val="0"/>
        </w:rPr>
      </w:pPr>
      <w:bookmarkStart w:id="99" w:name="_Toc232169768"/>
      <w:bookmarkStart w:id="100" w:name="_Toc13561"/>
      <w:bookmarkStart w:id="101" w:name="_Toc9964"/>
      <w:r>
        <w:rPr>
          <w:rFonts w:hint="eastAsia"/>
          <w:b w:val="0"/>
          <w:bCs w:val="0"/>
          <w:kern w:val="0"/>
        </w:rPr>
        <w:t>（一）</w:t>
      </w:r>
      <w:bookmarkStart w:id="102" w:name="OLE_LINK27"/>
      <w:r>
        <w:rPr>
          <w:rFonts w:hint="eastAsia"/>
          <w:b w:val="0"/>
          <w:bCs w:val="0"/>
          <w:kern w:val="0"/>
        </w:rPr>
        <w:t>动态压减项目预算规模，</w:t>
      </w:r>
      <w:r>
        <w:rPr>
          <w:rFonts w:hint="eastAsia"/>
          <w:b w:val="0"/>
          <w:bCs w:val="0"/>
        </w:rPr>
        <w:t>保障资金精准快速落地</w:t>
      </w:r>
      <w:bookmarkEnd w:id="99"/>
      <w:bookmarkEnd w:id="100"/>
      <w:bookmarkEnd w:id="101"/>
    </w:p>
    <w:bookmarkEnd w:id="102"/>
    <w:p>
      <w:r>
        <w:t>结合近三年赛事预算</w:t>
      </w:r>
      <w:bookmarkStart w:id="103" w:name="OLE_LINK1"/>
      <w:r>
        <w:t>编制及执行情况，针对当前预算编制偏理想化、未结合历年实际落地数据</w:t>
      </w:r>
      <w:bookmarkEnd w:id="103"/>
      <w:r>
        <w:t>、预算冗余偏大、财政资金闲置、预算执行率偏低等突出问题，立足财政资金精准高效利用、贴合赛事实际运营规律</w:t>
      </w:r>
      <w:r>
        <w:rPr>
          <w:rFonts w:hint="eastAsia"/>
        </w:rPr>
        <w:t>，建议如下：</w:t>
      </w:r>
    </w:p>
    <w:p>
      <w:pPr>
        <w:ind w:firstLine="643"/>
      </w:pPr>
      <w:r>
        <w:rPr>
          <w:rFonts w:hint="eastAsia"/>
          <w:b/>
          <w:bCs/>
        </w:rPr>
        <w:t>一是</w:t>
      </w:r>
      <w:r>
        <w:rPr>
          <w:b/>
          <w:bCs/>
        </w:rPr>
        <w:t>建立</w:t>
      </w:r>
      <w:r>
        <w:rPr>
          <w:rFonts w:hint="eastAsia"/>
          <w:b/>
          <w:bCs/>
        </w:rPr>
        <w:t>赛事组织</w:t>
      </w:r>
      <w:r>
        <w:rPr>
          <w:b/>
          <w:bCs/>
        </w:rPr>
        <w:t>预算动态精细化管理机制。</w:t>
      </w:r>
      <w:r>
        <w:t>依托赛事连续十年成熟运营、流程体系固化、资源渠道稳定的基础，改变以往按全新项目、理想状态编制预算的模式，</w:t>
      </w:r>
      <w:r>
        <w:rPr>
          <w:b/>
          <w:bCs/>
        </w:rPr>
        <w:t>建立历年执行数据复盘、存量资源复用、年度梯度压降的常态化预算管控体系，</w:t>
      </w:r>
      <w:r>
        <w:rPr>
          <w:rFonts w:hint="eastAsia"/>
          <w:b/>
          <w:bCs/>
        </w:rPr>
        <w:t>逐年压减每年固定支出的办赛经费预算，持续清理新增非必要支出、重复性运营费用</w:t>
      </w:r>
      <w:r>
        <w:rPr>
          <w:rFonts w:hint="eastAsia"/>
          <w:b/>
          <w:bCs/>
          <w:lang w:eastAsia="zh-CN"/>
        </w:rPr>
        <w:t>、</w:t>
      </w:r>
      <w:r>
        <w:rPr>
          <w:rFonts w:hint="eastAsia"/>
          <w:b/>
          <w:bCs/>
        </w:rPr>
        <w:t>模糊性支出，</w:t>
      </w:r>
      <w:r>
        <w:t>实现</w:t>
      </w:r>
      <w:r>
        <w:rPr>
          <w:rFonts w:hint="eastAsia"/>
        </w:rPr>
        <w:t>办赛</w:t>
      </w:r>
      <w:r>
        <w:t>预算从 “固定编制” 向 “动态瘦身、精准匹配、高效利用” 转变，</w:t>
      </w:r>
      <w:r>
        <w:rPr>
          <w:rFonts w:hint="eastAsia"/>
        </w:rPr>
        <w:t>全面贯彻落实“过紧日子”精神，</w:t>
      </w:r>
      <w:r>
        <w:t>提升财政资金使用绩效。</w:t>
      </w:r>
    </w:p>
    <w:p>
      <w:pPr>
        <w:ind w:firstLine="643"/>
      </w:pPr>
      <w:r>
        <w:rPr>
          <w:rFonts w:hint="eastAsia"/>
          <w:b/>
          <w:bCs/>
        </w:rPr>
        <w:t>二是建立赛事奖励预算数据化编制机制，摒弃理想化测算方式</w:t>
      </w:r>
      <w:r>
        <w:rPr>
          <w:rFonts w:hint="eastAsia"/>
        </w:rPr>
        <w:t>。</w:t>
      </w:r>
      <w:r>
        <w:rPr>
          <w:rFonts w:hint="eastAsia" w:ascii="Times New Roman" w:hAnsi="Times New Roman" w:cs="Times New Roman"/>
          <w:b w:val="0"/>
          <w:bCs w:val="0"/>
          <w:szCs w:val="24"/>
          <w:lang w:val="en-US" w:eastAsia="zh-CN"/>
        </w:rPr>
        <w:t>项目近十年来</w:t>
      </w:r>
      <w:r>
        <w:rPr>
          <w:rFonts w:hint="eastAsia" w:ascii="Times New Roman" w:hAnsi="Times New Roman" w:cs="Times New Roman"/>
          <w:szCs w:val="24"/>
          <w:lang w:val="en-US" w:eastAsia="zh-CN"/>
        </w:rPr>
        <w:t>整体落地率为72%，赛事奖励</w:t>
      </w:r>
      <w:r>
        <w:rPr>
          <w:rFonts w:hint="eastAsia" w:cs="仿宋_GB2312"/>
          <w:szCs w:val="32"/>
        </w:rPr>
        <w:t>执行率</w:t>
      </w:r>
      <w:r>
        <w:rPr>
          <w:rFonts w:hint="eastAsia" w:cs="仿宋_GB2312"/>
          <w:szCs w:val="32"/>
          <w:lang w:val="en-US" w:eastAsia="zh-CN"/>
        </w:rPr>
        <w:t>为</w:t>
      </w:r>
      <w:r>
        <w:rPr>
          <w:rFonts w:hint="eastAsia" w:cs="仿宋_GB2312"/>
          <w:szCs w:val="32"/>
        </w:rPr>
        <w:t>33.95%</w:t>
      </w:r>
      <w:r>
        <w:rPr>
          <w:rFonts w:hint="eastAsia" w:cs="仿宋_GB2312"/>
          <w:szCs w:val="32"/>
          <w:lang w:eastAsia="zh-CN"/>
        </w:rPr>
        <w:t>；</w:t>
      </w:r>
      <w:r>
        <w:rPr>
          <w:rFonts w:hint="eastAsia" w:ascii="Times New Roman" w:hAnsi="Times New Roman" w:cs="Times New Roman"/>
          <w:b w:val="0"/>
          <w:bCs w:val="0"/>
          <w:szCs w:val="24"/>
        </w:rPr>
        <w:t>近三年平均落地率为56%</w:t>
      </w:r>
      <w:r>
        <w:rPr>
          <w:rFonts w:hint="eastAsia" w:ascii="Times New Roman" w:hAnsi="Times New Roman" w:cs="Times New Roman"/>
          <w:b w:val="0"/>
          <w:bCs w:val="0"/>
          <w:szCs w:val="24"/>
          <w:lang w:eastAsia="zh-CN"/>
        </w:rPr>
        <w:t>，</w:t>
      </w:r>
      <w:r>
        <w:rPr>
          <w:rFonts w:hint="eastAsia" w:ascii="Times New Roman" w:hAnsi="Times New Roman" w:cs="Times New Roman"/>
          <w:b w:val="0"/>
          <w:bCs w:val="0"/>
          <w:szCs w:val="24"/>
          <w:lang w:val="en-US" w:eastAsia="zh-CN"/>
        </w:rPr>
        <w:t>赛事奖励执行率为</w:t>
      </w:r>
      <w:r>
        <w:rPr>
          <w:rFonts w:hint="eastAsia" w:cs="仿宋_GB2312"/>
          <w:szCs w:val="32"/>
        </w:rPr>
        <w:t>9.94%</w:t>
      </w:r>
      <w:r>
        <w:rPr>
          <w:rFonts w:hint="eastAsia" w:cs="仿宋_GB2312"/>
          <w:szCs w:val="32"/>
          <w:lang w:eastAsia="zh-CN"/>
        </w:rPr>
        <w:t>，</w:t>
      </w:r>
      <w:r>
        <w:rPr>
          <w:rFonts w:hint="eastAsia" w:cs="仿宋_GB2312"/>
          <w:szCs w:val="32"/>
          <w:lang w:val="en-US" w:eastAsia="zh-CN"/>
        </w:rPr>
        <w:t>通过数据分析，</w:t>
      </w:r>
      <w:r>
        <w:rPr>
          <w:rFonts w:hint="eastAsia" w:ascii="仿宋_GB2312" w:hAnsi="仿宋_GB2312" w:cs="仿宋_GB2312"/>
        </w:rPr>
        <w:t>应</w:t>
      </w:r>
      <w:r>
        <w:rPr>
          <w:rFonts w:hint="eastAsia"/>
        </w:rPr>
        <w:t>改变以往按照“满额获奖、满额落地”的理想状态编制预算的模式，依托历年赛事获奖落地</w:t>
      </w:r>
      <w:r>
        <w:rPr>
          <w:rFonts w:hint="eastAsia"/>
          <w:lang w:val="en-US" w:eastAsia="zh-CN"/>
        </w:rPr>
        <w:t>情况</w:t>
      </w:r>
      <w:r>
        <w:rPr>
          <w:rFonts w:hint="eastAsia"/>
        </w:rPr>
        <w:t>、奖项失效数据、项目弃赛数据等历史实绩，</w:t>
      </w:r>
      <w:r>
        <w:rPr>
          <w:rFonts w:hint="eastAsia"/>
          <w:b/>
          <w:bCs/>
        </w:rPr>
        <w:t>基于历年项目落地率、预算执行率等因素，结合实际情况，合理测算当年赛事奖励预算规模。</w:t>
      </w:r>
      <w:r>
        <w:rPr>
          <w:rFonts w:hint="eastAsia"/>
        </w:rPr>
        <w:t>结合2024年先锋奖71.67%的预算执行率、2025年80强先锋奖实际落地数量不足等实际情况，科学核定年度奖项预算额度编制预算，从源头解决赛事奖励预算虚高、资金冗余闲置问题。</w:t>
      </w:r>
    </w:p>
    <w:p>
      <w:pPr>
        <w:ind w:firstLine="643"/>
        <w:rPr>
          <w:b/>
          <w:bCs/>
        </w:rPr>
      </w:pPr>
      <w:r>
        <w:rPr>
          <w:rFonts w:hint="eastAsia"/>
          <w:b/>
          <w:bCs/>
        </w:rPr>
        <w:t>三是建立动态督办机制，保障资金精准快速落地。</w:t>
      </w:r>
      <w:r>
        <w:rPr>
          <w:rFonts w:hint="eastAsia"/>
        </w:rPr>
        <w:t>针对当前赛事奖励资金兑付流程繁琐、审批周期长、资金落地滞后，难以快速缓解小微初创项目现金流紧张、经营压力大的问题，结合近三年赛事奖励兑现实操痛点，聚焦提速增效、精准纾困，具体建议如下：搭建赛事奖励兑付专项督办、定期核查机制，专人负责跟踪各奖项审核进度、勘察进度、资金拨付进度，定期梳理兑付台账，及时发现并疏通审批堵点。针对小微初创项目现金流紧张、抗风险能力弱的特点，建议优先保障落地刚需奖励资金兑付，充分发挥赛事奖励资金对冲企业经营压力、助力初创项目稳定发展的兜底作用，切实提升赛事政策扶持实效。</w:t>
      </w:r>
    </w:p>
    <w:p>
      <w:pPr>
        <w:ind w:firstLine="643"/>
        <w:jc w:val="left"/>
      </w:pPr>
      <w:r>
        <w:rPr>
          <w:rFonts w:hint="eastAsia"/>
          <w:b/>
          <w:bCs/>
        </w:rPr>
        <w:t>四是继续完善贴合奖项兑现周期的预算动态申报机制，提高预算编制的精度。</w:t>
      </w:r>
      <w:r>
        <w:rPr>
          <w:rFonts w:hint="eastAsia"/>
        </w:rPr>
        <w:t>针对奖励资金的预算安排，继续按照实际支付年度编制预算，同时，结合上一年度落户项目的发展情况或者台账，当期据实测算，确保预算申报规模、拨付节奏与项目兑现需求进度进一步匹配，有效减少资金长期闲置，提升财政资金使用效率与精准度。</w:t>
      </w:r>
    </w:p>
    <w:p>
      <w:pPr>
        <w:pStyle w:val="3"/>
        <w:keepNext w:val="0"/>
        <w:keepLines w:val="0"/>
        <w:spacing w:line="560" w:lineRule="exact"/>
        <w:jc w:val="left"/>
        <w:rPr>
          <w:b w:val="0"/>
          <w:bCs w:val="0"/>
          <w:kern w:val="0"/>
        </w:rPr>
      </w:pPr>
      <w:bookmarkStart w:id="104" w:name="_Toc10528"/>
      <w:bookmarkStart w:id="105" w:name="_Toc232169769"/>
      <w:bookmarkStart w:id="106" w:name="_Toc11458"/>
      <w:r>
        <w:rPr>
          <w:rFonts w:hint="eastAsia"/>
          <w:b w:val="0"/>
          <w:bCs w:val="0"/>
          <w:kern w:val="0"/>
        </w:rPr>
        <w:t>（二）</w:t>
      </w:r>
      <w:bookmarkStart w:id="107" w:name="OLE_LINK28"/>
      <w:r>
        <w:rPr>
          <w:rFonts w:hint="eastAsia"/>
          <w:b w:val="0"/>
          <w:bCs w:val="0"/>
          <w:kern w:val="0"/>
        </w:rPr>
        <w:t>探索多种投资方式，以“政策</w:t>
      </w:r>
      <w:r>
        <w:rPr>
          <w:b w:val="0"/>
          <w:bCs w:val="0"/>
          <w:kern w:val="0"/>
        </w:rPr>
        <w:t>+</w:t>
      </w:r>
      <w:r>
        <w:rPr>
          <w:rFonts w:hint="eastAsia"/>
          <w:b w:val="0"/>
          <w:bCs w:val="0"/>
          <w:kern w:val="0"/>
        </w:rPr>
        <w:t>服务”完善“稳根护根”培育体系</w:t>
      </w:r>
      <w:bookmarkEnd w:id="104"/>
      <w:bookmarkEnd w:id="105"/>
      <w:bookmarkEnd w:id="106"/>
      <w:bookmarkEnd w:id="107"/>
    </w:p>
    <w:p>
      <w:pPr>
        <w:ind w:firstLine="643"/>
      </w:pPr>
      <w:r>
        <w:rPr>
          <w:b/>
          <w:bCs/>
        </w:rPr>
        <w:t>1.</w:t>
      </w:r>
      <w:r>
        <w:rPr>
          <w:rFonts w:hint="eastAsia"/>
          <w:b/>
          <w:bCs/>
        </w:rPr>
        <w:t>完善基金投资，探索补改投方式，丰富资金扶持手段，锁定财政资金和企业发展的长期效益。</w:t>
      </w:r>
      <w:r>
        <w:rPr>
          <w:rFonts w:hint="eastAsia"/>
        </w:rPr>
        <w:t>具体建议如下：</w:t>
      </w:r>
    </w:p>
    <w:p>
      <w:r>
        <w:rPr>
          <w:rFonts w:hint="eastAsia"/>
        </w:rPr>
        <w:t>建议推动尝试奖励机制从</w:t>
      </w:r>
      <w:r>
        <w:t xml:space="preserve"> “</w:t>
      </w:r>
      <w:r>
        <w:rPr>
          <w:rFonts w:hint="eastAsia"/>
        </w:rPr>
        <w:t>单一现金补贴</w:t>
      </w:r>
      <w:r>
        <w:t xml:space="preserve">” </w:t>
      </w:r>
      <w:r>
        <w:rPr>
          <w:rFonts w:hint="eastAsia"/>
        </w:rPr>
        <w:t>转向</w:t>
      </w:r>
      <w:r>
        <w:t xml:space="preserve"> “</w:t>
      </w:r>
      <w:r>
        <w:rPr>
          <w:rFonts w:hint="eastAsia"/>
        </w:rPr>
        <w:t>投补贷联动、全周期培育</w:t>
      </w:r>
      <w:r>
        <w:t xml:space="preserve">” </w:t>
      </w:r>
      <w:r>
        <w:rPr>
          <w:rFonts w:hint="eastAsia"/>
        </w:rPr>
        <w:t>的新模式，以股权绑定企业长期成长，落实“投早投小”工作机制。</w:t>
      </w:r>
      <w:r>
        <w:t>对标广州、深圳</w:t>
      </w:r>
      <w:r>
        <w:rPr>
          <w:rFonts w:hint="eastAsia"/>
        </w:rPr>
        <w:t>，明确投资标准、决策流程、投后管理、退出机制等。针对潜力项目委托专业国资创投机构开展投资决策，锁定项目的长期发展效益。</w:t>
      </w:r>
    </w:p>
    <w:p>
      <w:pPr>
        <w:spacing w:line="560" w:lineRule="exact"/>
        <w:ind w:firstLineChars="0"/>
      </w:pPr>
      <w:r>
        <w:rPr>
          <w:rFonts w:hint="eastAsia"/>
        </w:rPr>
        <w:t>2</w:t>
      </w:r>
      <w:r>
        <w:rPr>
          <w:rFonts w:hint="eastAsia"/>
          <w:b/>
          <w:bCs/>
        </w:rPr>
        <w:t>. 聚焦“稳根护根”导向，形成招商稳商合力，让优质项目在本地扎根。</w:t>
      </w:r>
      <w:r>
        <w:rPr>
          <w:rFonts w:hint="eastAsia"/>
        </w:rPr>
        <w:t>具体优化建议如下：</w:t>
      </w:r>
    </w:p>
    <w:p>
      <w:pPr>
        <w:ind w:firstLine="643"/>
      </w:pPr>
      <w:r>
        <w:rPr>
          <w:rFonts w:hint="eastAsia"/>
          <w:b/>
          <w:bCs/>
        </w:rPr>
        <w:t>一是</w:t>
      </w:r>
      <w:r>
        <w:rPr>
          <w:b/>
          <w:bCs/>
        </w:rPr>
        <w:t>强化招商条线协同配合，整合</w:t>
      </w:r>
      <w:r>
        <w:rPr>
          <w:rFonts w:hint="eastAsia"/>
          <w:b/>
          <w:bCs/>
        </w:rPr>
        <w:t>招商专班</w:t>
      </w:r>
      <w:r>
        <w:rPr>
          <w:b/>
          <w:bCs/>
        </w:rPr>
        <w:t>工作力量、形成整体合力。</w:t>
      </w:r>
      <w:r>
        <w:rPr>
          <w:rFonts w:hint="eastAsia"/>
        </w:rPr>
        <w:t>对于创赛招引的项目，结合园区现行的专班工作机制，明确责任分工。</w:t>
      </w:r>
      <w:r>
        <w:t>坚持招引与培育并重，常态化开展走访对接，精准落实各项扶持举措，全力稳住企业经营基本盘，用心用情做好 “稳根、护根、固根” 工作，切实提升企业归属感与留存率</w:t>
      </w:r>
      <w:r>
        <w:rPr>
          <w:rFonts w:hint="eastAsia"/>
        </w:rPr>
        <w:t>，从“事后补救”转为“事前培育、提前留存”，大幅降低优质项目外迁率。</w:t>
      </w:r>
    </w:p>
    <w:p>
      <w:pPr>
        <w:ind w:firstLine="643"/>
      </w:pPr>
      <w:r>
        <w:rPr>
          <w:rFonts w:hint="eastAsia"/>
          <w:b/>
          <w:bCs/>
        </w:rPr>
        <w:t>二是建立企业诉求响应机制。</w:t>
      </w:r>
      <w:r>
        <w:rPr>
          <w:rFonts w:hint="eastAsia"/>
        </w:rPr>
        <w:t>做细做实企业服务，畅通企业问题报送通道，对于企业提出的诉求，形成“收集</w:t>
      </w:r>
      <w:r>
        <w:t>-</w:t>
      </w:r>
      <w:r>
        <w:rPr>
          <w:rFonts w:hint="eastAsia"/>
        </w:rPr>
        <w:t>联动</w:t>
      </w:r>
      <w:r>
        <w:t>-</w:t>
      </w:r>
      <w:r>
        <w:rPr>
          <w:rFonts w:hint="eastAsia"/>
        </w:rPr>
        <w:t>快办”的工作机制，切实做到“有求必应、无事不扰”，以高效服务增强企业归属感。</w:t>
      </w:r>
    </w:p>
    <w:p>
      <w:pPr>
        <w:ind w:firstLine="643"/>
      </w:pPr>
      <w:r>
        <w:rPr>
          <w:rFonts w:hint="eastAsia"/>
          <w:b/>
          <w:bCs/>
        </w:rPr>
        <w:t>3.借助</w:t>
      </w:r>
      <w:r>
        <w:rPr>
          <w:b/>
          <w:bCs/>
        </w:rPr>
        <w:t>合作创新采购</w:t>
      </w:r>
      <w:r>
        <w:rPr>
          <w:rFonts w:hint="eastAsia"/>
          <w:b/>
          <w:bCs/>
        </w:rPr>
        <w:t>，部门联动搭建“场景开放</w:t>
      </w:r>
      <w:r>
        <w:rPr>
          <w:b/>
          <w:bCs/>
        </w:rPr>
        <w:t>+</w:t>
      </w:r>
      <w:r>
        <w:rPr>
          <w:rFonts w:hint="eastAsia"/>
          <w:b/>
          <w:bCs/>
        </w:rPr>
        <w:t>产业链融通”赋能平台。</w:t>
      </w:r>
      <w:r>
        <w:rPr>
          <w:rFonts w:hint="eastAsia"/>
        </w:rPr>
        <w:t xml:space="preserve"> 聚焦初创与成长期企业“缺订单、缺场景”的核心生存难题，</w:t>
      </w:r>
      <w:r>
        <w:t>积极落实《广东省财政厅关于推动实施政府采购合作创新采购工作的通知》</w:t>
      </w:r>
      <w:r>
        <w:rPr>
          <w:rFonts w:hint="eastAsia"/>
        </w:rPr>
        <w:t>精神，通过政府搭台，定期举办“大手拉小手”产业链对接会，</w:t>
      </w:r>
      <w:r>
        <w:t>积极探索“补偿+首购+推广”的模式，为供应商提供研发成本补偿和市场订单支持</w:t>
      </w:r>
      <w:r>
        <w:rPr>
          <w:rFonts w:hint="eastAsia"/>
        </w:rPr>
        <w:t>，从而引导本地链主企业</w:t>
      </w:r>
      <w:r>
        <w:rPr>
          <w:rFonts w:hint="eastAsia"/>
          <w:lang w:val="en-US" w:eastAsia="zh-CN"/>
        </w:rPr>
        <w:t>等</w:t>
      </w:r>
      <w:r>
        <w:rPr>
          <w:rFonts w:hint="eastAsia"/>
        </w:rPr>
        <w:t>向园区初创企业开放应用场景、供应链与测试平台，以便企业就地找场景、</w:t>
      </w:r>
      <w:r>
        <w:rPr>
          <w:rFonts w:hint="eastAsia"/>
          <w:lang w:val="en-US" w:eastAsia="zh-CN"/>
        </w:rPr>
        <w:t>找</w:t>
      </w:r>
      <w:r>
        <w:rPr>
          <w:rFonts w:hint="eastAsia"/>
        </w:rPr>
        <w:t>市场、找订单、找技术合作，用扎实的产业生态圈和本地化市场让企业“牢牢扎根在本地”。</w:t>
      </w:r>
    </w:p>
    <w:p>
      <w:r>
        <w:rPr>
          <w:rFonts w:hint="eastAsia"/>
        </w:rPr>
        <w:t>4</w:t>
      </w:r>
      <w:r>
        <w:rPr>
          <w:rFonts w:hint="eastAsia"/>
          <w:b/>
          <w:bCs/>
        </w:rPr>
        <w:t>.有针对性建立园区外部引入项目细分培养机制，以提高其本地化适应能力，提高成活率</w:t>
      </w:r>
      <w:r>
        <w:rPr>
          <w:rFonts w:hint="eastAsia"/>
        </w:rPr>
        <w:t>。具体建议如下：</w:t>
      </w:r>
    </w:p>
    <w:p>
      <w:pPr>
        <w:ind w:firstLine="643"/>
      </w:pPr>
      <w:r>
        <w:rPr>
          <w:rFonts w:hint="eastAsia"/>
          <w:b/>
          <w:bCs/>
        </w:rPr>
        <w:t>一是</w:t>
      </w:r>
      <w:r>
        <w:rPr>
          <w:rFonts w:hint="eastAsia"/>
        </w:rPr>
        <w:t>建立“外部项目专项融入培育机制”，缩小内外项目存活差距。区分本土项目与外地引入项目实施差异化培育，对异地落地团队增设入园适配辅导期。重点针对外地团队不熟悉本地政策、产业生态、市场环境等短板，开展入园第一课、本地产业图谱解读、园区资源对接专场，快速消除信息差，解决“水土不服”问题。</w:t>
      </w:r>
    </w:p>
    <w:p>
      <w:pPr>
        <w:ind w:firstLine="643"/>
      </w:pPr>
      <w:r>
        <w:rPr>
          <w:rFonts w:hint="eastAsia"/>
          <w:b/>
          <w:bCs/>
        </w:rPr>
        <w:t>二是</w:t>
      </w:r>
      <w:r>
        <w:rPr>
          <w:rFonts w:hint="eastAsia"/>
        </w:rPr>
        <w:t>强化前置尽调筛选，从源头提升引入项目质量。优化大赛评审及落地尽调机制，除考察以技术、创意、团队学历等要素外，重点核查外地项目的产业化适配度、市场落地能力，减少引入无本地化经营计划、与园区产业不匹配的项目，从源头降低退出率。</w:t>
      </w:r>
    </w:p>
    <w:p>
      <w:pPr>
        <w:ind w:firstLine="643"/>
      </w:pPr>
      <w:r>
        <w:rPr>
          <w:rFonts w:hint="eastAsia"/>
          <w:b/>
          <w:bCs/>
        </w:rPr>
        <w:t>5</w:t>
      </w:r>
      <w:r>
        <w:rPr>
          <w:b/>
          <w:bCs/>
        </w:rPr>
        <w:t>.立足现有全周期政策体系，强化“政策服务最后一公里”。</w:t>
      </w:r>
      <w:r>
        <w:t>做好企业全生命周期集成化政策宣讲服务，推动企业在经营发展、转型升级、产能扩张等环节产生需求时，能够快速知晓、便捷对接适配政策</w:t>
      </w:r>
      <w:r>
        <w:rPr>
          <w:rFonts w:hint="eastAsia"/>
          <w:lang w:eastAsia="zh-CN"/>
        </w:rPr>
        <w:t>，</w:t>
      </w:r>
      <w:r>
        <w:t>有效破除信息壁垒，充分释放营商环境既有优势，让各项惠企举措真正落地见效。</w:t>
      </w:r>
    </w:p>
    <w:p>
      <w:pPr>
        <w:pStyle w:val="3"/>
        <w:keepNext w:val="0"/>
        <w:keepLines w:val="0"/>
        <w:jc w:val="left"/>
        <w:rPr>
          <w:b w:val="0"/>
          <w:bCs w:val="0"/>
          <w:kern w:val="0"/>
        </w:rPr>
      </w:pPr>
      <w:bookmarkStart w:id="108" w:name="_Toc28957"/>
      <w:bookmarkStart w:id="109" w:name="_Toc232169770"/>
      <w:bookmarkStart w:id="110" w:name="_Toc3213"/>
      <w:r>
        <w:rPr>
          <w:rFonts w:hint="eastAsia"/>
          <w:b w:val="0"/>
          <w:bCs w:val="0"/>
          <w:kern w:val="0"/>
        </w:rPr>
        <w:t>（三）</w:t>
      </w:r>
      <w:bookmarkStart w:id="111" w:name="OLE_LINK29"/>
      <w:r>
        <w:rPr>
          <w:rFonts w:hint="eastAsia"/>
          <w:b w:val="0"/>
          <w:bCs w:val="0"/>
          <w:kern w:val="0"/>
        </w:rPr>
        <w:t>以创赛品牌构建为导向，构建梯度化的创新源矩阵</w:t>
      </w:r>
      <w:bookmarkEnd w:id="108"/>
      <w:bookmarkEnd w:id="109"/>
      <w:bookmarkEnd w:id="110"/>
    </w:p>
    <w:bookmarkEnd w:id="111"/>
    <w:p>
      <w:r>
        <w:t>结合近三年赛事宣传区域布局、品牌建设及赛道设置存在的短板，针对宣传布局零散、持续性不足、创新源头渠道不稳定、特色赛道设置合理性欠缺等问题，立足精准化、常态化、品牌化宣传及专业化办赛原则，</w:t>
      </w:r>
      <w:r>
        <w:rPr>
          <w:rFonts w:hint="eastAsia"/>
        </w:rPr>
        <w:t>建议如下：</w:t>
      </w:r>
    </w:p>
    <w:p>
      <w:pPr>
        <w:ind w:firstLine="643"/>
      </w:pPr>
      <w:r>
        <w:rPr>
          <w:rFonts w:hint="eastAsia"/>
          <w:b/>
          <w:bCs/>
        </w:rPr>
        <w:t>一是</w:t>
      </w:r>
      <w:r>
        <w:rPr>
          <w:rFonts w:hint="eastAsia"/>
        </w:rPr>
        <w:t>固化核心宣传圈层，搭建稳定长效创新引入渠道。优化以往零散化、阶段性、随机性的宣传布局，依托三年宣传数据沉淀，固定深圳、西安、武汉三大核心宣传地市，将其设为大赛常态化、年度必宣的创新源头阵地。持续深耕大湾区产业高地与中西部高校科创高地，通过逐年常态化宣讲、资源对接、品牌曝光，持续积累区域科创圈层认知，稳定政策宣传、项目引入、资源对接渠道，逐年降低对外招商引赛沟通成本，长期塑造松山湖科创大赛专属品牌效应。同时摒弃短期点状宣传模式，不再随意启停重点城市宣传工作，杜绝北京、上海、香港、成都等城市“一次性宣传、断层断联”的问题，对优质科创城市实行周期性轮动深耕，保障创新渠道持续畅通。</w:t>
      </w:r>
    </w:p>
    <w:p>
      <w:pPr>
        <w:ind w:firstLine="643"/>
      </w:pPr>
      <w:r>
        <w:rPr>
          <w:rFonts w:hint="eastAsia"/>
          <w:b/>
          <w:bCs/>
        </w:rPr>
        <w:t>二是</w:t>
      </w:r>
      <w:r>
        <w:rPr>
          <w:rFonts w:hint="eastAsia"/>
        </w:rPr>
        <w:t>梳理分层宣传体系，构建精准化、梯度化宣传格局。厘清赛事宣传定位，建立“核心常驻宣传+重点轮动宣传+年度特色宣传”三级标准化宣传体系，解决宣传方向模糊、布局混乱、缺乏系统性的问题。将广州、长沙、成都等科创资源富集城市纳入重点轮动宣传库，实行隔年常态化覆盖；将东莞松山湖本土作为常态化宣传基底，强化本土产业载体联动；深圳区域持续深化精细化片区宣传，实现从城市覆盖到圈层渗透的升级。通过分层分类、持续稳定的宣传布局，精准对接内外创新载体、创业团队，形成可持续的项目储备源头。</w:t>
      </w:r>
    </w:p>
    <w:p>
      <w:pPr>
        <w:ind w:firstLine="643"/>
      </w:pPr>
      <w:r>
        <w:rPr>
          <w:rFonts w:hint="eastAsia"/>
          <w:b/>
          <w:bCs/>
        </w:rPr>
        <w:t>三是</w:t>
      </w:r>
      <w:r>
        <w:rPr>
          <w:rFonts w:hint="eastAsia"/>
        </w:rPr>
        <w:t>优化赛事赛道设置，聚焦产业导向提升办赛专业性。取消非产业属性的“女性专场”专项赛道及对应奖项，回归科创大赛以产业赛道、技术领域为核心的办赛逻辑。创业项目核心竞争力聚焦技术创新、商业模式、产业价值，性别属性不构成创业项目核心评价标准，无市场化、产业化激励依据，专项赛道设置易弱化赛事产业专业性。</w:t>
      </w:r>
    </w:p>
    <w:p>
      <w:pPr>
        <w:pStyle w:val="3"/>
        <w:keepNext w:val="0"/>
        <w:keepLines w:val="0"/>
        <w:jc w:val="left"/>
        <w:rPr>
          <w:rFonts w:hint="eastAsia"/>
          <w:b w:val="0"/>
          <w:bCs w:val="0"/>
          <w:kern w:val="0"/>
        </w:rPr>
      </w:pPr>
      <w:bookmarkStart w:id="112" w:name="_Toc26279"/>
      <w:bookmarkStart w:id="115" w:name="_GoBack"/>
      <w:bookmarkEnd w:id="115"/>
      <w:r>
        <w:rPr>
          <w:rFonts w:hint="eastAsia"/>
          <w:b w:val="0"/>
          <w:bCs w:val="0"/>
          <w:kern w:val="0"/>
        </w:rPr>
        <w:t>（四）激活创新高点强化创新引流，联合行动构建转化培育高地</w:t>
      </w:r>
      <w:bookmarkEnd w:id="112"/>
    </w:p>
    <w:p>
      <w:pPr>
        <w:ind w:firstLine="643"/>
        <w:rPr>
          <w:rFonts w:hint="eastAsia"/>
          <w:lang w:eastAsia="zh-CN"/>
        </w:rPr>
      </w:pPr>
      <w:r>
        <w:rPr>
          <w:rFonts w:hint="eastAsia"/>
        </w:rPr>
        <w:t>一是多方联动</w:t>
      </w:r>
      <w:r>
        <w:rPr>
          <w:rFonts w:hint="eastAsia"/>
          <w:lang w:eastAsia="zh-CN"/>
        </w:rPr>
        <w:t>，</w:t>
      </w:r>
      <w:r>
        <w:rPr>
          <w:rFonts w:hint="eastAsia"/>
        </w:rPr>
        <w:t>拓宽赛事报名渠道</w:t>
      </w:r>
      <w:r>
        <w:rPr>
          <w:rFonts w:hint="eastAsia"/>
          <w:lang w:eastAsia="zh-CN"/>
        </w:rPr>
        <w:t>。</w:t>
      </w:r>
      <w:r>
        <w:rPr>
          <w:rFonts w:hint="eastAsia"/>
        </w:rPr>
        <w:t>联动省内外高校开展区域巡回宣讲，</w:t>
      </w:r>
      <w:r>
        <w:rPr>
          <w:rFonts w:hint="eastAsia"/>
          <w:lang w:val="en-US" w:eastAsia="zh-CN"/>
        </w:rPr>
        <w:t>推动各高校做好组织动员；</w:t>
      </w:r>
      <w:r>
        <w:rPr>
          <w:rFonts w:hint="eastAsia"/>
        </w:rPr>
        <w:t>建立港澳科创机构</w:t>
      </w:r>
      <w:r>
        <w:rPr>
          <w:rFonts w:hint="eastAsia"/>
          <w:lang w:val="en-US" w:eastAsia="zh-CN"/>
        </w:rPr>
        <w:t>合作机制</w:t>
      </w:r>
      <w:r>
        <w:rPr>
          <w:rFonts w:hint="eastAsia"/>
        </w:rPr>
        <w:t>，</w:t>
      </w:r>
      <w:r>
        <w:rPr>
          <w:rFonts w:hint="eastAsia"/>
          <w:lang w:val="en-US" w:eastAsia="zh-CN"/>
        </w:rPr>
        <w:t>借助其渠道向港澳高校和研究所定向</w:t>
      </w:r>
      <w:r>
        <w:rPr>
          <w:rFonts w:hint="eastAsia"/>
        </w:rPr>
        <w:t>推送赛事信息</w:t>
      </w:r>
      <w:r>
        <w:rPr>
          <w:rFonts w:hint="eastAsia"/>
          <w:lang w:val="en-US" w:eastAsia="zh-CN"/>
        </w:rPr>
        <w:t>及</w:t>
      </w:r>
      <w:r>
        <w:rPr>
          <w:rFonts w:hint="eastAsia"/>
        </w:rPr>
        <w:t>项目初推</w:t>
      </w:r>
      <w:r>
        <w:rPr>
          <w:rFonts w:hint="eastAsia"/>
          <w:lang w:eastAsia="zh-CN"/>
        </w:rPr>
        <w:t>；</w:t>
      </w:r>
      <w:r>
        <w:rPr>
          <w:rFonts w:hint="eastAsia"/>
        </w:rPr>
        <w:t>对优质项目推荐单位予以激励，拓宽优质项目来源</w:t>
      </w:r>
      <w:r>
        <w:rPr>
          <w:rFonts w:hint="eastAsia"/>
          <w:lang w:eastAsia="zh-CN"/>
        </w:rPr>
        <w:t>。</w:t>
      </w:r>
    </w:p>
    <w:p>
      <w:pPr>
        <w:ind w:firstLine="643"/>
        <w:rPr>
          <w:rFonts w:hint="eastAsia"/>
        </w:rPr>
      </w:pPr>
      <w:r>
        <w:rPr>
          <w:rFonts w:hint="eastAsia"/>
        </w:rPr>
        <w:t>二是</w:t>
      </w:r>
      <w:r>
        <w:rPr>
          <w:rFonts w:hint="eastAsia"/>
          <w:lang w:val="en-US" w:eastAsia="zh-CN"/>
        </w:rPr>
        <w:t>用好园区院士专家及企业家资源，</w:t>
      </w:r>
      <w:r>
        <w:rPr>
          <w:rFonts w:hint="eastAsia"/>
        </w:rPr>
        <w:t>强化赛事吸引力。</w:t>
      </w:r>
      <w:r>
        <w:rPr>
          <w:rFonts w:hint="eastAsia"/>
          <w:lang w:val="en-US" w:eastAsia="zh-CN"/>
        </w:rPr>
        <w:t>邀请</w:t>
      </w:r>
      <w:r>
        <w:rPr>
          <w:rFonts w:hint="eastAsia"/>
        </w:rPr>
        <w:t>园区院士、企业家</w:t>
      </w:r>
      <w:r>
        <w:rPr>
          <w:rFonts w:hint="eastAsia"/>
          <w:lang w:eastAsia="zh-CN"/>
        </w:rPr>
        <w:t>、</w:t>
      </w:r>
      <w:r>
        <w:rPr>
          <w:rFonts w:hint="eastAsia"/>
          <w:lang w:val="en-US" w:eastAsia="zh-CN"/>
        </w:rPr>
        <w:t>创新创业代表</w:t>
      </w:r>
      <w:r>
        <w:rPr>
          <w:rFonts w:hint="eastAsia"/>
        </w:rPr>
        <w:t>担任赛事导师与创新大使</w:t>
      </w:r>
      <w:r>
        <w:rPr>
          <w:rFonts w:hint="eastAsia"/>
          <w:lang w:val="en-US" w:eastAsia="zh-CN"/>
        </w:rPr>
        <w:t>并深度参与</w:t>
      </w:r>
      <w:r>
        <w:rPr>
          <w:rFonts w:hint="eastAsia"/>
        </w:rPr>
        <w:t>，借助</w:t>
      </w:r>
      <w:r>
        <w:rPr>
          <w:rFonts w:hint="eastAsia"/>
          <w:lang w:val="en-US" w:eastAsia="zh-CN"/>
        </w:rPr>
        <w:t>其</w:t>
      </w:r>
      <w:r>
        <w:rPr>
          <w:rFonts w:hint="eastAsia"/>
        </w:rPr>
        <w:t>行业影响力扩大赛事宣传，</w:t>
      </w:r>
      <w:r>
        <w:rPr>
          <w:rFonts w:hint="eastAsia"/>
          <w:lang w:val="en-US" w:eastAsia="zh-CN"/>
        </w:rPr>
        <w:t>带动更多高水平项目参赛</w:t>
      </w:r>
      <w:r>
        <w:rPr>
          <w:rFonts w:hint="eastAsia"/>
        </w:rPr>
        <w:t>。</w:t>
      </w:r>
    </w:p>
    <w:p>
      <w:pPr>
        <w:ind w:firstLine="643"/>
        <w:rPr>
          <w:rFonts w:hint="eastAsia"/>
        </w:rPr>
      </w:pPr>
      <w:r>
        <w:rPr>
          <w:rFonts w:hint="eastAsia"/>
        </w:rPr>
        <w:t>三是线下闭环</w:t>
      </w:r>
      <w:r>
        <w:rPr>
          <w:rFonts w:hint="eastAsia"/>
          <w:lang w:eastAsia="zh-CN"/>
        </w:rPr>
        <w:t>，</w:t>
      </w:r>
      <w:r>
        <w:rPr>
          <w:rFonts w:hint="eastAsia"/>
        </w:rPr>
        <w:t>提升落地转化成效。将路演环节</w:t>
      </w:r>
      <w:r>
        <w:rPr>
          <w:rFonts w:hint="eastAsia"/>
          <w:lang w:val="en-US" w:eastAsia="zh-CN"/>
        </w:rPr>
        <w:t>安排</w:t>
      </w:r>
      <w:r>
        <w:rPr>
          <w:rFonts w:hint="eastAsia"/>
        </w:rPr>
        <w:t>在与赛事赛道匹配的科创园区、龙头企业、产业载体现场举办，安排园区招商人员和企业技术负责人全程观摩，</w:t>
      </w:r>
      <w:r>
        <w:rPr>
          <w:rFonts w:hint="eastAsia"/>
          <w:lang w:val="en-US" w:eastAsia="zh-CN"/>
        </w:rPr>
        <w:t>促成</w:t>
      </w:r>
      <w:r>
        <w:rPr>
          <w:rFonts w:hint="eastAsia"/>
        </w:rPr>
        <w:t>小范围洽谈。邀请本地创投机构等金融机构参会，提前对接投融资需求。政府部门派专人驻场，现场解答人才政策、场地优惠、科研资助等系列问题，推动实现“参赛、展示、对接、落地”一站式闭环</w:t>
      </w:r>
      <w:r>
        <w:rPr>
          <w:rFonts w:hint="eastAsia"/>
          <w:lang w:eastAsia="zh-CN"/>
        </w:rPr>
        <w:t>，</w:t>
      </w:r>
      <w:r>
        <w:rPr>
          <w:rFonts w:hint="eastAsia"/>
        </w:rPr>
        <w:t>提高项目签约转化率。</w:t>
      </w:r>
    </w:p>
    <w:p>
      <w:pPr>
        <w:ind w:firstLine="643"/>
        <w:rPr>
          <w:rFonts w:hint="eastAsia"/>
        </w:rPr>
        <w:sectPr>
          <w:pgSz w:w="11906" w:h="16838"/>
          <w:pgMar w:top="1440" w:right="1800" w:bottom="1440" w:left="1800" w:header="851" w:footer="992" w:gutter="0"/>
          <w:pgNumType w:fmt="decimal"/>
          <w:cols w:space="425" w:num="1"/>
          <w:docGrid w:type="lines" w:linePitch="312" w:charSpace="0"/>
        </w:sectPr>
      </w:pPr>
    </w:p>
    <w:p>
      <w:pPr>
        <w:ind w:firstLine="643"/>
        <w:jc w:val="center"/>
        <w:rPr>
          <w:rFonts w:hint="eastAsia" w:ascii="黑体" w:hAnsi="黑体" w:eastAsia="黑体" w:cs="黑体"/>
        </w:rPr>
      </w:pPr>
      <w:bookmarkStart w:id="113" w:name="_Toc31503"/>
      <w:bookmarkStart w:id="114" w:name="_Toc232169771"/>
      <w:r>
        <w:rPr>
          <w:rFonts w:hint="eastAsia" w:ascii="黑体" w:hAnsi="黑体" w:eastAsia="黑体" w:cs="黑体"/>
        </w:rPr>
        <w:t>附件  松山湖创新创业大赛项目2023-2025年绩效评价评分表</w:t>
      </w:r>
      <w:bookmarkEnd w:id="113"/>
      <w:bookmarkEnd w:id="114"/>
    </w:p>
    <w:p>
      <w:pPr>
        <w:keepNext w:val="0"/>
        <w:keepLines w:val="0"/>
        <w:pageBreakBefore w:val="0"/>
        <w:kinsoku/>
        <w:wordWrap/>
        <w:overflowPunct/>
        <w:topLinePunct w:val="0"/>
        <w:autoSpaceDE/>
        <w:autoSpaceDN/>
        <w:bidi w:val="0"/>
        <w:adjustRightInd/>
        <w:snapToGrid/>
        <w:spacing w:line="280" w:lineRule="exact"/>
        <w:textAlignment w:val="auto"/>
      </w:pPr>
    </w:p>
    <w:tbl>
      <w:tblPr>
        <w:tblStyle w:val="24"/>
        <w:tblW w:w="5000" w:type="pct"/>
        <w:tblInd w:w="0" w:type="dxa"/>
        <w:tblLayout w:type="fixed"/>
        <w:tblCellMar>
          <w:top w:w="0" w:type="dxa"/>
          <w:left w:w="108" w:type="dxa"/>
          <w:bottom w:w="0" w:type="dxa"/>
          <w:right w:w="108" w:type="dxa"/>
        </w:tblCellMar>
      </w:tblPr>
      <w:tblGrid>
        <w:gridCol w:w="821"/>
        <w:gridCol w:w="757"/>
        <w:gridCol w:w="854"/>
        <w:gridCol w:w="491"/>
        <w:gridCol w:w="811"/>
        <w:gridCol w:w="1789"/>
        <w:gridCol w:w="652"/>
        <w:gridCol w:w="2976"/>
        <w:gridCol w:w="776"/>
        <w:gridCol w:w="4247"/>
      </w:tblGrid>
      <w:tr>
        <w:tblPrEx>
          <w:tblCellMar>
            <w:top w:w="0" w:type="dxa"/>
            <w:left w:w="108" w:type="dxa"/>
            <w:bottom w:w="0" w:type="dxa"/>
            <w:right w:w="108" w:type="dxa"/>
          </w:tblCellMar>
        </w:tblPrEx>
        <w:trPr>
          <w:trHeight w:val="576" w:hRule="atLeast"/>
          <w:tblHeader/>
        </w:trPr>
        <w:tc>
          <w:tcPr>
            <w:tcW w:w="29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一级指标</w:t>
            </w:r>
          </w:p>
        </w:tc>
        <w:tc>
          <w:tcPr>
            <w:tcW w:w="26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二级指标</w:t>
            </w: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三级指标</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序号</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四级指标</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指标解释</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分值</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评分标准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得分情况</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b/>
                <w:bCs/>
                <w:color w:val="000000"/>
                <w:kern w:val="0"/>
                <w:sz w:val="24"/>
                <w:szCs w:val="24"/>
              </w:rPr>
            </w:pPr>
            <w:r>
              <w:rPr>
                <w:rFonts w:hint="eastAsia" w:cs="宋体"/>
                <w:b/>
                <w:bCs/>
                <w:color w:val="000000"/>
                <w:kern w:val="0"/>
                <w:sz w:val="24"/>
                <w:szCs w:val="24"/>
              </w:rPr>
              <w:t>评分依据</w:t>
            </w:r>
          </w:p>
        </w:tc>
      </w:tr>
      <w:tr>
        <w:tblPrEx>
          <w:tblCellMar>
            <w:top w:w="0" w:type="dxa"/>
            <w:left w:w="108" w:type="dxa"/>
            <w:bottom w:w="0" w:type="dxa"/>
            <w:right w:w="108" w:type="dxa"/>
          </w:tblCellMar>
        </w:tblPrEx>
        <w:trPr>
          <w:trHeight w:val="1152" w:hRule="atLeast"/>
        </w:trPr>
        <w:tc>
          <w:tcPr>
            <w:tcW w:w="290"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决策（</w:t>
            </w:r>
            <w:r>
              <w:rPr>
                <w:rFonts w:cs="宋体"/>
                <w:color w:val="000000"/>
                <w:kern w:val="0"/>
                <w:sz w:val="24"/>
                <w:szCs w:val="24"/>
              </w:rPr>
              <w:t>16</w:t>
            </w:r>
            <w:r>
              <w:rPr>
                <w:rFonts w:hint="eastAsia" w:cs="宋体"/>
                <w:color w:val="000000"/>
                <w:kern w:val="0"/>
                <w:sz w:val="24"/>
                <w:szCs w:val="24"/>
              </w:rPr>
              <w:t>分）</w:t>
            </w:r>
          </w:p>
        </w:tc>
        <w:tc>
          <w:tcPr>
            <w:tcW w:w="26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项目申报立项</w:t>
            </w: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项目论证</w:t>
            </w:r>
            <w:r>
              <w:rPr>
                <w:rFonts w:cs="宋体"/>
                <w:color w:val="000000"/>
                <w:kern w:val="0"/>
                <w:sz w:val="24"/>
                <w:szCs w:val="24"/>
              </w:rPr>
              <w:br w:type="textWrapping"/>
            </w:r>
            <w:r>
              <w:rPr>
                <w:rFonts w:cs="宋体"/>
                <w:color w:val="000000"/>
                <w:kern w:val="0"/>
                <w:sz w:val="24"/>
                <w:szCs w:val="24"/>
              </w:rPr>
              <w:t>(</w:t>
            </w:r>
            <w:r>
              <w:rPr>
                <w:rFonts w:hint="eastAsia" w:cs="宋体"/>
                <w:color w:val="000000"/>
                <w:kern w:val="0"/>
                <w:sz w:val="24"/>
                <w:szCs w:val="24"/>
              </w:rPr>
              <w:t>申报</w:t>
            </w:r>
            <w:r>
              <w:rPr>
                <w:rFonts w:cs="宋体"/>
                <w:color w:val="000000"/>
                <w:kern w:val="0"/>
                <w:sz w:val="24"/>
                <w:szCs w:val="24"/>
              </w:rPr>
              <w:t>)</w:t>
            </w:r>
            <w:r>
              <w:rPr>
                <w:rFonts w:cs="宋体"/>
                <w:color w:val="000000"/>
                <w:kern w:val="0"/>
                <w:sz w:val="24"/>
                <w:szCs w:val="24"/>
              </w:rPr>
              <w:br w:type="textWrapping"/>
            </w:r>
            <w:r>
              <w:rPr>
                <w:rFonts w:hint="eastAsia" w:cs="宋体"/>
                <w:color w:val="000000"/>
                <w:kern w:val="0"/>
                <w:sz w:val="24"/>
                <w:szCs w:val="24"/>
              </w:rPr>
              <w:t>规范性</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项目论证规范性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反映项目立项论证的规范程度。评价要点</w:t>
            </w:r>
            <w:r>
              <w:rPr>
                <w:rFonts w:cs="宋体"/>
                <w:color w:val="000000"/>
                <w:kern w:val="0"/>
                <w:sz w:val="24"/>
                <w:szCs w:val="24"/>
              </w:rPr>
              <w:t>:</w:t>
            </w:r>
            <w:r>
              <w:rPr>
                <w:rFonts w:cs="宋体"/>
                <w:color w:val="000000"/>
                <w:kern w:val="0"/>
                <w:sz w:val="24"/>
                <w:szCs w:val="24"/>
              </w:rPr>
              <w:br w:type="textWrapping"/>
            </w:r>
            <w:r>
              <w:rPr>
                <w:rFonts w:hint="eastAsia" w:cs="宋体"/>
                <w:color w:val="000000"/>
                <w:kern w:val="0"/>
                <w:sz w:val="24"/>
                <w:szCs w:val="24"/>
              </w:rPr>
              <w:t>项目立项申报前是否已经过必要的可行性研究、专家论证、集体决策等。</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提供本赛事项目能够提升经济社会双转型及地方产业升级，着力提高企业创新能力和城市发展动力的立项论证依据，包括相关文件或论证会议记录的，得</w:t>
            </w:r>
            <w:r>
              <w:rPr>
                <w:rFonts w:cs="宋体"/>
                <w:color w:val="000000"/>
                <w:kern w:val="0"/>
                <w:sz w:val="24"/>
                <w:szCs w:val="24"/>
              </w:rPr>
              <w:t>2</w:t>
            </w:r>
            <w:r>
              <w:rPr>
                <w:rFonts w:hint="eastAsia" w:cs="宋体"/>
                <w:color w:val="000000"/>
                <w:kern w:val="0"/>
                <w:sz w:val="24"/>
                <w:szCs w:val="24"/>
              </w:rPr>
              <w:t>分</w:t>
            </w:r>
            <w:r>
              <w:rPr>
                <w:rFonts w:cs="宋体"/>
                <w:color w:val="000000"/>
                <w:kern w:val="0"/>
                <w:sz w:val="24"/>
                <w:szCs w:val="24"/>
              </w:rPr>
              <w:t>;2.</w:t>
            </w:r>
            <w:r>
              <w:rPr>
                <w:rFonts w:hint="eastAsia" w:cs="宋体"/>
                <w:color w:val="000000"/>
                <w:kern w:val="0"/>
                <w:sz w:val="24"/>
                <w:szCs w:val="24"/>
              </w:rPr>
              <w:t>提供前期调研的相关报告文件的，得</w:t>
            </w:r>
            <w:r>
              <w:rPr>
                <w:rFonts w:cs="宋体"/>
                <w:color w:val="000000"/>
                <w:kern w:val="0"/>
                <w:sz w:val="24"/>
                <w:szCs w:val="24"/>
              </w:rPr>
              <w:t>2</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根据</w:t>
            </w:r>
            <w:r>
              <w:rPr>
                <w:rFonts w:cs="宋体"/>
                <w:color w:val="000000"/>
                <w:kern w:val="0"/>
                <w:sz w:val="24"/>
                <w:szCs w:val="24"/>
              </w:rPr>
              <w:t>2023-2025</w:t>
            </w:r>
            <w:r>
              <w:rPr>
                <w:rFonts w:hint="eastAsia" w:cs="宋体"/>
                <w:color w:val="000000"/>
                <w:kern w:val="0"/>
                <w:sz w:val="24"/>
                <w:szCs w:val="24"/>
              </w:rPr>
              <w:t>年创赛请示、批复相关文件，创赛广泛征集党建工作办事、商务与投资促进局、工业和信息化局、财政国资金融局、招投标服务所、综合办公室等部门意见，通过管委会会议审议。此项满分。</w:t>
            </w:r>
          </w:p>
        </w:tc>
      </w:tr>
      <w:tr>
        <w:tblPrEx>
          <w:tblCellMar>
            <w:top w:w="0" w:type="dxa"/>
            <w:left w:w="108" w:type="dxa"/>
            <w:bottom w:w="0" w:type="dxa"/>
            <w:right w:w="108" w:type="dxa"/>
          </w:tblCellMar>
        </w:tblPrEx>
        <w:trPr>
          <w:trHeight w:val="1440"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绩效目标</w:t>
            </w: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目标设置</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绩效目标合理性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资金设定的绩效目标依据充分，体现资金扶持意图，包含能够体现创赛举办目的的关键核心指标，全面反映绩效目标情况，符合客观实际。</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依据相关基础信息和证据判断目标设置的合理性，即绩效目标与资金或项目属性特点、支出内容相关，体现决策意图，同时合乎客观实际，得</w:t>
            </w:r>
            <w:r>
              <w:rPr>
                <w:rFonts w:cs="宋体"/>
                <w:color w:val="000000"/>
                <w:kern w:val="0"/>
                <w:sz w:val="24"/>
                <w:szCs w:val="24"/>
              </w:rPr>
              <w:t>4</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根据</w:t>
            </w:r>
            <w:r>
              <w:rPr>
                <w:rFonts w:cs="宋体"/>
                <w:color w:val="000000"/>
                <w:kern w:val="0"/>
                <w:sz w:val="24"/>
                <w:szCs w:val="24"/>
              </w:rPr>
              <w:t>2023-2025</w:t>
            </w:r>
            <w:r>
              <w:rPr>
                <w:rFonts w:hint="eastAsia" w:cs="宋体"/>
                <w:color w:val="000000"/>
                <w:kern w:val="0"/>
                <w:sz w:val="24"/>
                <w:szCs w:val="24"/>
              </w:rPr>
              <w:t>年创赛《项目绩效目标表》，项目设置了参赛项目数量、奖励项目数量、奖补合规率、奖补资金发放及时率、预算执行率、可持续影响及满意度等绩效指标。主要问题：</w:t>
            </w:r>
            <w:r>
              <w:rPr>
                <w:rFonts w:cs="宋体"/>
                <w:color w:val="000000"/>
                <w:kern w:val="0"/>
                <w:sz w:val="24"/>
                <w:szCs w:val="24"/>
              </w:rPr>
              <w:t>1.</w:t>
            </w:r>
            <w:r>
              <w:rPr>
                <w:rFonts w:hint="eastAsia" w:cs="宋体"/>
                <w:color w:val="000000"/>
                <w:kern w:val="0"/>
                <w:sz w:val="24"/>
                <w:szCs w:val="24"/>
              </w:rPr>
              <w:t>绩效指标不够全面，缺少衡量获奖项目落地成效、落地企业带动产业发展等核心效益指标。</w:t>
            </w:r>
            <w:r>
              <w:rPr>
                <w:rFonts w:cs="宋体"/>
                <w:color w:val="000000"/>
                <w:kern w:val="0"/>
                <w:sz w:val="24"/>
                <w:szCs w:val="24"/>
              </w:rPr>
              <w:t>2.</w:t>
            </w:r>
            <w:r>
              <w:rPr>
                <w:rFonts w:hint="eastAsia" w:cs="宋体"/>
                <w:color w:val="000000"/>
                <w:kern w:val="0"/>
                <w:sz w:val="24"/>
                <w:szCs w:val="24"/>
              </w:rPr>
              <w:t>部分指标目标值不合理，例如，近三年获奖项目数分别为</w:t>
            </w:r>
            <w:r>
              <w:rPr>
                <w:rFonts w:cs="宋体"/>
                <w:color w:val="000000"/>
                <w:kern w:val="0"/>
                <w:sz w:val="24"/>
                <w:szCs w:val="24"/>
              </w:rPr>
              <w:t>105</w:t>
            </w:r>
            <w:r>
              <w:rPr>
                <w:rFonts w:hint="eastAsia" w:cs="宋体"/>
                <w:color w:val="000000"/>
                <w:kern w:val="0"/>
                <w:sz w:val="24"/>
                <w:szCs w:val="24"/>
              </w:rPr>
              <w:t>家、</w:t>
            </w:r>
            <w:r>
              <w:rPr>
                <w:rFonts w:cs="宋体"/>
                <w:color w:val="000000"/>
                <w:kern w:val="0"/>
                <w:sz w:val="24"/>
                <w:szCs w:val="24"/>
              </w:rPr>
              <w:t>57</w:t>
            </w:r>
            <w:r>
              <w:rPr>
                <w:rFonts w:hint="eastAsia" w:cs="宋体"/>
                <w:color w:val="000000"/>
                <w:kern w:val="0"/>
                <w:sz w:val="24"/>
                <w:szCs w:val="24"/>
              </w:rPr>
              <w:t>家、</w:t>
            </w:r>
            <w:r>
              <w:rPr>
                <w:rFonts w:cs="宋体"/>
                <w:color w:val="000000"/>
                <w:kern w:val="0"/>
                <w:sz w:val="24"/>
                <w:szCs w:val="24"/>
              </w:rPr>
              <w:t>72</w:t>
            </w:r>
            <w:r>
              <w:rPr>
                <w:rFonts w:hint="eastAsia" w:cs="宋体"/>
                <w:color w:val="000000"/>
                <w:kern w:val="0"/>
                <w:sz w:val="24"/>
                <w:szCs w:val="24"/>
              </w:rPr>
              <w:t>家，但目标值仅为≥</w:t>
            </w:r>
            <w:r>
              <w:rPr>
                <w:rFonts w:cs="宋体"/>
                <w:color w:val="000000"/>
                <w:kern w:val="0"/>
                <w:sz w:val="24"/>
                <w:szCs w:val="24"/>
              </w:rPr>
              <w:t>2</w:t>
            </w:r>
            <w:r>
              <w:rPr>
                <w:rFonts w:hint="eastAsia" w:cs="宋体"/>
                <w:color w:val="000000"/>
                <w:kern w:val="0"/>
                <w:sz w:val="24"/>
                <w:szCs w:val="24"/>
              </w:rPr>
              <w:t>家，目标值偏低。此项得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783"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绩效指标明确性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资金绩效指标达到清晰、细化、可量化等标准。</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依据相关基础信息和证据判断指标设置的明确性，即绩效目标设置有数据支撑、有可衡量性的产出和效果指标，得</w:t>
            </w:r>
            <w:r>
              <w:rPr>
                <w:rFonts w:cs="宋体"/>
                <w:color w:val="000000"/>
                <w:kern w:val="0"/>
                <w:sz w:val="24"/>
                <w:szCs w:val="24"/>
              </w:rPr>
              <w:t>4</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根据</w:t>
            </w:r>
            <w:r>
              <w:rPr>
                <w:rFonts w:cs="宋体"/>
                <w:color w:val="000000"/>
                <w:kern w:val="0"/>
                <w:sz w:val="24"/>
                <w:szCs w:val="24"/>
              </w:rPr>
              <w:t>2023-2025</w:t>
            </w:r>
            <w:r>
              <w:rPr>
                <w:rFonts w:hint="eastAsia" w:cs="宋体"/>
                <w:color w:val="000000"/>
                <w:kern w:val="0"/>
                <w:sz w:val="24"/>
                <w:szCs w:val="24"/>
              </w:rPr>
              <w:t>年创赛《项目绩效目标表》，促进创新创业企业发展为定性指标，缺少量化指标，难以准确衡量成效。此项得</w:t>
            </w:r>
            <w:r>
              <w:rPr>
                <w:rFonts w:cs="宋体"/>
                <w:color w:val="000000"/>
                <w:kern w:val="0"/>
                <w:sz w:val="24"/>
                <w:szCs w:val="24"/>
              </w:rPr>
              <w:t>3</w:t>
            </w:r>
            <w:r>
              <w:rPr>
                <w:rFonts w:hint="eastAsia" w:cs="宋体"/>
                <w:color w:val="000000"/>
                <w:kern w:val="0"/>
                <w:sz w:val="24"/>
                <w:szCs w:val="24"/>
              </w:rPr>
              <w:t>分。</w:t>
            </w:r>
          </w:p>
        </w:tc>
      </w:tr>
      <w:tr>
        <w:tblPrEx>
          <w:tblCellMar>
            <w:top w:w="0" w:type="dxa"/>
            <w:left w:w="108" w:type="dxa"/>
            <w:bottom w:w="0" w:type="dxa"/>
            <w:right w:w="108" w:type="dxa"/>
          </w:tblCellMar>
        </w:tblPrEx>
        <w:trPr>
          <w:trHeight w:val="1433"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预算编制</w:t>
            </w: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预算编制科学性</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预算编制科学性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预算编制经过科学论证、有明确标准，资金额度与绩效相适应，预算编制具有科学性、合理性。</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预算编制经过充分论证、有明确标准，预算资金额度依据充分，资金额度与年度目标相适应，得</w:t>
            </w:r>
            <w:r>
              <w:rPr>
                <w:rFonts w:cs="宋体"/>
                <w:color w:val="000000"/>
                <w:kern w:val="0"/>
                <w:sz w:val="24"/>
                <w:szCs w:val="24"/>
              </w:rPr>
              <w:t>2</w:t>
            </w:r>
            <w:r>
              <w:rPr>
                <w:rFonts w:hint="eastAsia" w:cs="宋体"/>
                <w:color w:val="000000"/>
                <w:kern w:val="0"/>
                <w:sz w:val="24"/>
                <w:szCs w:val="24"/>
              </w:rPr>
              <w:t>分。</w:t>
            </w:r>
            <w:r>
              <w:rPr>
                <w:rFonts w:cs="宋体"/>
                <w:color w:val="000000"/>
                <w:kern w:val="0"/>
                <w:sz w:val="24"/>
                <w:szCs w:val="24"/>
              </w:rPr>
              <w:br w:type="textWrapping"/>
            </w:r>
            <w:r>
              <w:rPr>
                <w:rFonts w:cs="宋体"/>
                <w:color w:val="000000"/>
                <w:kern w:val="0"/>
                <w:sz w:val="24"/>
                <w:szCs w:val="24"/>
              </w:rPr>
              <w:t>2.</w:t>
            </w:r>
            <w:r>
              <w:rPr>
                <w:rFonts w:hint="eastAsia" w:cs="宋体"/>
                <w:color w:val="000000"/>
                <w:kern w:val="0"/>
                <w:sz w:val="24"/>
                <w:szCs w:val="24"/>
              </w:rPr>
              <w:t>预算内容与政策内容一致，得</w:t>
            </w:r>
            <w:r>
              <w:rPr>
                <w:rFonts w:cs="宋体"/>
                <w:color w:val="000000"/>
                <w:kern w:val="0"/>
                <w:sz w:val="24"/>
                <w:szCs w:val="24"/>
              </w:rPr>
              <w:t>2</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根据</w:t>
            </w:r>
            <w:r>
              <w:rPr>
                <w:rFonts w:cs="宋体"/>
                <w:color w:val="000000"/>
                <w:kern w:val="0"/>
                <w:sz w:val="24"/>
                <w:szCs w:val="24"/>
              </w:rPr>
              <w:t>2023-2025</w:t>
            </w:r>
            <w:r>
              <w:rPr>
                <w:rFonts w:hint="eastAsia" w:cs="宋体"/>
                <w:color w:val="000000"/>
                <w:kern w:val="0"/>
                <w:sz w:val="24"/>
                <w:szCs w:val="24"/>
              </w:rPr>
              <w:t>年创赛《费用预算表》和预算经费支出情况，办赛经费仍有压缩空间、奖励经费预算测算标准合理性有待提升。</w:t>
            </w:r>
            <w:r>
              <w:rPr>
                <w:rFonts w:cs="宋体"/>
                <w:color w:val="000000"/>
                <w:kern w:val="0"/>
                <w:sz w:val="24"/>
                <w:szCs w:val="24"/>
              </w:rPr>
              <w:t>1.</w:t>
            </w:r>
            <w:r>
              <w:rPr>
                <w:rFonts w:hint="eastAsia" w:cs="宋体"/>
                <w:color w:val="000000"/>
                <w:kern w:val="0"/>
                <w:sz w:val="24"/>
                <w:szCs w:val="24"/>
              </w:rPr>
              <w:t>办赛经费预算管理不合理，未体现“过紧日子”导向。本项目</w:t>
            </w:r>
            <w:r>
              <w:rPr>
                <w:rFonts w:cs="宋体"/>
                <w:color w:val="000000"/>
                <w:kern w:val="0"/>
                <w:sz w:val="24"/>
                <w:szCs w:val="24"/>
              </w:rPr>
              <w:t>2015</w:t>
            </w:r>
            <w:r>
              <w:rPr>
                <w:rFonts w:hint="eastAsia" w:cs="宋体"/>
                <w:color w:val="000000"/>
                <w:kern w:val="0"/>
                <w:sz w:val="24"/>
                <w:szCs w:val="24"/>
              </w:rPr>
              <w:t>年设立，属于常态化、成熟化的年度固定赛事，已形成相对完善的执行流程、宣传渠道、合作资源、服务体系、素材库与工作经验，因此部分预算明细无需每年按全新赛事标准全额、足额投入，但本项目的实际预算编制执行未结合往年的工作基础优化预算编制。例如，相较于</w:t>
            </w:r>
            <w:r>
              <w:rPr>
                <w:rFonts w:cs="宋体"/>
                <w:color w:val="000000"/>
                <w:kern w:val="0"/>
                <w:sz w:val="24"/>
                <w:szCs w:val="24"/>
              </w:rPr>
              <w:t>2024</w:t>
            </w:r>
            <w:r>
              <w:rPr>
                <w:rFonts w:hint="eastAsia" w:cs="宋体"/>
                <w:color w:val="000000"/>
                <w:kern w:val="0"/>
                <w:sz w:val="24"/>
                <w:szCs w:val="24"/>
              </w:rPr>
              <w:t>年，</w:t>
            </w:r>
            <w:r>
              <w:rPr>
                <w:rFonts w:cs="宋体"/>
                <w:color w:val="000000"/>
                <w:kern w:val="0"/>
                <w:sz w:val="24"/>
                <w:szCs w:val="24"/>
              </w:rPr>
              <w:t>2025</w:t>
            </w:r>
            <w:r>
              <w:rPr>
                <w:rFonts w:hint="eastAsia" w:cs="宋体"/>
                <w:color w:val="000000"/>
                <w:kern w:val="0"/>
                <w:sz w:val="24"/>
                <w:szCs w:val="24"/>
              </w:rPr>
              <w:t>年策划执行费不降反增加，项目征集、发动报名、辅导费、宣讲费等费用保持不变，未体现优化导向。</w:t>
            </w:r>
            <w:r>
              <w:rPr>
                <w:rFonts w:cs="宋体"/>
                <w:color w:val="000000"/>
                <w:kern w:val="0"/>
                <w:sz w:val="24"/>
                <w:szCs w:val="24"/>
              </w:rPr>
              <w:t>2.</w:t>
            </w:r>
            <w:r>
              <w:rPr>
                <w:rFonts w:hint="eastAsia" w:cs="宋体"/>
                <w:color w:val="000000"/>
                <w:kern w:val="0"/>
                <w:sz w:val="24"/>
                <w:szCs w:val="24"/>
              </w:rPr>
              <w:t>奖励经费测算标准不够合理：</w:t>
            </w:r>
            <w:r>
              <w:rPr>
                <w:rFonts w:cs="宋体"/>
                <w:color w:val="000000"/>
                <w:kern w:val="0"/>
                <w:sz w:val="24"/>
                <w:szCs w:val="24"/>
              </w:rPr>
              <w:t>2023-2025</w:t>
            </w:r>
            <w:r>
              <w:rPr>
                <w:rFonts w:hint="eastAsia" w:cs="宋体"/>
                <w:color w:val="000000"/>
                <w:kern w:val="0"/>
                <w:sz w:val="24"/>
                <w:szCs w:val="24"/>
              </w:rPr>
              <w:t>年赛事奖励经费实际支出不足预算的</w:t>
            </w:r>
            <w:r>
              <w:rPr>
                <w:rFonts w:cs="宋体"/>
                <w:color w:val="000000"/>
                <w:kern w:val="0"/>
                <w:sz w:val="24"/>
                <w:szCs w:val="24"/>
              </w:rPr>
              <w:t>50%</w:t>
            </w:r>
            <w:r>
              <w:rPr>
                <w:rFonts w:hint="eastAsia" w:cs="宋体"/>
                <w:color w:val="000000"/>
                <w:kern w:val="0"/>
                <w:sz w:val="24"/>
                <w:szCs w:val="24"/>
              </w:rPr>
              <w:t>。主要原因是近三年均按获奖企业</w:t>
            </w:r>
            <w:r>
              <w:rPr>
                <w:rFonts w:cs="宋体"/>
                <w:color w:val="000000"/>
                <w:kern w:val="0"/>
                <w:sz w:val="24"/>
                <w:szCs w:val="24"/>
              </w:rPr>
              <w:t>100%</w:t>
            </w:r>
            <w:r>
              <w:rPr>
                <w:rFonts w:hint="eastAsia" w:cs="宋体"/>
                <w:color w:val="000000"/>
                <w:kern w:val="0"/>
                <w:sz w:val="24"/>
                <w:szCs w:val="24"/>
              </w:rPr>
              <w:t>落地的标准编制预算，实际上获奖企业落地转化率分别为</w:t>
            </w:r>
            <w:r>
              <w:rPr>
                <w:rFonts w:cs="宋体"/>
                <w:color w:val="000000"/>
                <w:kern w:val="0"/>
                <w:sz w:val="24"/>
                <w:szCs w:val="24"/>
              </w:rPr>
              <w:t>22%</w:t>
            </w:r>
            <w:r>
              <w:rPr>
                <w:rFonts w:hint="eastAsia" w:cs="宋体"/>
                <w:color w:val="000000"/>
                <w:kern w:val="0"/>
                <w:sz w:val="24"/>
                <w:szCs w:val="24"/>
              </w:rPr>
              <w:t>、</w:t>
            </w:r>
            <w:r>
              <w:rPr>
                <w:rFonts w:cs="宋体"/>
                <w:color w:val="000000"/>
                <w:kern w:val="0"/>
                <w:sz w:val="24"/>
                <w:szCs w:val="24"/>
              </w:rPr>
              <w:t>79%</w:t>
            </w:r>
            <w:r>
              <w:rPr>
                <w:rFonts w:hint="eastAsia" w:cs="宋体"/>
                <w:color w:val="000000"/>
                <w:kern w:val="0"/>
                <w:sz w:val="24"/>
                <w:szCs w:val="24"/>
              </w:rPr>
              <w:t>、</w:t>
            </w:r>
            <w:r>
              <w:rPr>
                <w:rFonts w:cs="宋体"/>
                <w:color w:val="000000"/>
                <w:kern w:val="0"/>
                <w:sz w:val="24"/>
                <w:szCs w:val="24"/>
              </w:rPr>
              <w:t>90%</w:t>
            </w:r>
            <w:r>
              <w:rPr>
                <w:rFonts w:hint="eastAsia" w:cs="宋体"/>
                <w:color w:val="000000"/>
                <w:kern w:val="0"/>
                <w:sz w:val="24"/>
                <w:szCs w:val="24"/>
              </w:rPr>
              <w:t>，近三年获奖企业平均落地转化率为</w:t>
            </w:r>
            <w:r>
              <w:rPr>
                <w:rFonts w:cs="宋体"/>
                <w:color w:val="000000"/>
                <w:kern w:val="0"/>
                <w:sz w:val="24"/>
                <w:szCs w:val="24"/>
              </w:rPr>
              <w:t>56%</w:t>
            </w:r>
            <w:r>
              <w:rPr>
                <w:rFonts w:hint="eastAsia" w:cs="宋体"/>
                <w:color w:val="000000"/>
                <w:kern w:val="0"/>
                <w:sz w:val="24"/>
                <w:szCs w:val="24"/>
              </w:rPr>
              <w:t>，全额测算导致赛事奖励预算偏高。</w:t>
            </w:r>
            <w:r>
              <w:rPr>
                <w:rFonts w:cs="宋体"/>
                <w:color w:val="000000"/>
                <w:kern w:val="0"/>
                <w:sz w:val="24"/>
                <w:szCs w:val="24"/>
              </w:rPr>
              <w:br w:type="textWrapping"/>
            </w:r>
            <w:r>
              <w:rPr>
                <w:rFonts w:hint="eastAsia" w:cs="宋体"/>
                <w:color w:val="000000"/>
                <w:kern w:val="0"/>
                <w:sz w:val="24"/>
                <w:szCs w:val="24"/>
              </w:rPr>
              <w:t>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2304" w:hRule="atLeast"/>
        </w:trPr>
        <w:tc>
          <w:tcPr>
            <w:tcW w:w="290"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管理（</w:t>
            </w:r>
            <w:r>
              <w:rPr>
                <w:rFonts w:cs="宋体"/>
                <w:color w:val="000000"/>
                <w:kern w:val="0"/>
                <w:sz w:val="24"/>
                <w:szCs w:val="24"/>
              </w:rPr>
              <w:t>24</w:t>
            </w:r>
            <w:r>
              <w:rPr>
                <w:rFonts w:hint="eastAsia" w:cs="宋体"/>
                <w:color w:val="000000"/>
                <w:kern w:val="0"/>
                <w:sz w:val="24"/>
                <w:szCs w:val="24"/>
              </w:rPr>
              <w:t>分）</w:t>
            </w:r>
          </w:p>
        </w:tc>
        <w:tc>
          <w:tcPr>
            <w:tcW w:w="267"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资金管理</w:t>
            </w: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资金使用管理</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资金到位及时性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落地企业奖励经费是否足额、及时到位。</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资金足额到位的，得</w:t>
            </w:r>
            <w:r>
              <w:rPr>
                <w:rFonts w:cs="宋体"/>
                <w:color w:val="000000"/>
                <w:kern w:val="0"/>
                <w:sz w:val="24"/>
                <w:szCs w:val="24"/>
              </w:rPr>
              <w:t>2</w:t>
            </w:r>
            <w:r>
              <w:rPr>
                <w:rFonts w:hint="eastAsia" w:cs="宋体"/>
                <w:color w:val="000000"/>
                <w:kern w:val="0"/>
                <w:sz w:val="24"/>
                <w:szCs w:val="24"/>
              </w:rPr>
              <w:t>分；资金未足额到位的，按实际到位金额</w:t>
            </w:r>
            <w:r>
              <w:rPr>
                <w:rFonts w:cs="宋体"/>
                <w:color w:val="000000"/>
                <w:kern w:val="0"/>
                <w:sz w:val="24"/>
                <w:szCs w:val="24"/>
              </w:rPr>
              <w:t>/</w:t>
            </w:r>
            <w:r>
              <w:rPr>
                <w:rFonts w:hint="eastAsia" w:cs="宋体"/>
                <w:color w:val="000000"/>
                <w:kern w:val="0"/>
                <w:sz w:val="24"/>
                <w:szCs w:val="24"/>
              </w:rPr>
              <w:t>应到位金额</w:t>
            </w:r>
            <w:r>
              <w:rPr>
                <w:rFonts w:cs="宋体"/>
                <w:color w:val="000000"/>
                <w:kern w:val="0"/>
                <w:sz w:val="24"/>
                <w:szCs w:val="24"/>
              </w:rPr>
              <w:t>*</w:t>
            </w:r>
            <w:r>
              <w:rPr>
                <w:rFonts w:hint="eastAsia" w:cs="宋体"/>
                <w:color w:val="000000"/>
                <w:kern w:val="0"/>
                <w:sz w:val="24"/>
                <w:szCs w:val="24"/>
              </w:rPr>
              <w:t>指标分值测算。</w:t>
            </w:r>
            <w:r>
              <w:rPr>
                <w:rFonts w:cs="宋体"/>
                <w:color w:val="000000"/>
                <w:kern w:val="0"/>
                <w:sz w:val="24"/>
                <w:szCs w:val="24"/>
              </w:rPr>
              <w:br w:type="textWrapping"/>
            </w:r>
            <w:r>
              <w:rPr>
                <w:rFonts w:cs="宋体"/>
                <w:color w:val="000000"/>
                <w:kern w:val="0"/>
                <w:sz w:val="24"/>
                <w:szCs w:val="24"/>
              </w:rPr>
              <w:t>2.</w:t>
            </w:r>
            <w:r>
              <w:rPr>
                <w:rFonts w:hint="eastAsia" w:cs="宋体"/>
                <w:color w:val="000000"/>
                <w:kern w:val="0"/>
                <w:sz w:val="24"/>
                <w:szCs w:val="24"/>
              </w:rPr>
              <w:t>资金及时到位的，得</w:t>
            </w:r>
            <w:r>
              <w:rPr>
                <w:rFonts w:cs="宋体"/>
                <w:color w:val="000000"/>
                <w:kern w:val="0"/>
                <w:sz w:val="24"/>
                <w:szCs w:val="24"/>
              </w:rPr>
              <w:t>2</w:t>
            </w:r>
            <w:r>
              <w:rPr>
                <w:rFonts w:hint="eastAsia" w:cs="宋体"/>
                <w:color w:val="000000"/>
                <w:kern w:val="0"/>
                <w:sz w:val="24"/>
                <w:szCs w:val="24"/>
              </w:rPr>
              <w:t>分；资金未及时到位的，酌情扣分。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根据</w:t>
            </w:r>
            <w:r>
              <w:rPr>
                <w:rFonts w:cs="宋体"/>
                <w:color w:val="000000"/>
                <w:kern w:val="0"/>
                <w:sz w:val="24"/>
                <w:szCs w:val="24"/>
              </w:rPr>
              <w:t>2023-2025</w:t>
            </w:r>
            <w:r>
              <w:rPr>
                <w:rFonts w:hint="eastAsia" w:cs="宋体"/>
                <w:color w:val="000000"/>
                <w:kern w:val="0"/>
                <w:sz w:val="24"/>
                <w:szCs w:val="24"/>
              </w:rPr>
              <w:t>年奖励兑付情况，资金到位及时性有待提升，个别项目奖励兑付和执行进度偏慢。例如，</w:t>
            </w:r>
            <w:r>
              <w:rPr>
                <w:rFonts w:cs="宋体"/>
                <w:color w:val="000000"/>
                <w:kern w:val="0"/>
                <w:sz w:val="24"/>
                <w:szCs w:val="24"/>
              </w:rPr>
              <w:t>2023</w:t>
            </w:r>
            <w:r>
              <w:rPr>
                <w:rFonts w:hint="eastAsia" w:cs="宋体"/>
                <w:color w:val="000000"/>
                <w:kern w:val="0"/>
                <w:sz w:val="24"/>
                <w:szCs w:val="24"/>
              </w:rPr>
              <w:t>年的项目落地租金补贴，按照原方案，计划于</w:t>
            </w:r>
            <w:r>
              <w:rPr>
                <w:rFonts w:cs="宋体"/>
                <w:color w:val="000000"/>
                <w:kern w:val="0"/>
                <w:sz w:val="24"/>
                <w:szCs w:val="24"/>
              </w:rPr>
              <w:t>2025</w:t>
            </w:r>
            <w:r>
              <w:rPr>
                <w:rFonts w:hint="eastAsia" w:cs="宋体"/>
                <w:color w:val="000000"/>
                <w:kern w:val="0"/>
                <w:sz w:val="24"/>
                <w:szCs w:val="24"/>
              </w:rPr>
              <w:t>年全年支付，针对落地“先锋奖”项目，给予</w:t>
            </w:r>
            <w:r>
              <w:rPr>
                <w:rFonts w:cs="宋体"/>
                <w:color w:val="000000"/>
                <w:kern w:val="0"/>
                <w:sz w:val="24"/>
                <w:szCs w:val="24"/>
              </w:rPr>
              <w:t>1</w:t>
            </w:r>
            <w:r>
              <w:rPr>
                <w:rFonts w:hint="eastAsia" w:cs="宋体"/>
                <w:color w:val="000000"/>
                <w:kern w:val="0"/>
                <w:sz w:val="24"/>
                <w:szCs w:val="24"/>
              </w:rPr>
              <w:t>年租金补贴，不超过</w:t>
            </w:r>
            <w:r>
              <w:rPr>
                <w:rFonts w:cs="宋体"/>
                <w:color w:val="000000"/>
                <w:kern w:val="0"/>
                <w:sz w:val="24"/>
                <w:szCs w:val="24"/>
              </w:rPr>
              <w:t>10</w:t>
            </w:r>
            <w:r>
              <w:rPr>
                <w:rFonts w:hint="eastAsia" w:cs="宋体"/>
                <w:color w:val="000000"/>
                <w:kern w:val="0"/>
                <w:sz w:val="24"/>
                <w:szCs w:val="24"/>
              </w:rPr>
              <w:t>万元，但截至</w:t>
            </w:r>
            <w:r>
              <w:rPr>
                <w:rFonts w:cs="宋体"/>
                <w:color w:val="000000"/>
                <w:kern w:val="0"/>
                <w:sz w:val="24"/>
                <w:szCs w:val="24"/>
              </w:rPr>
              <w:t>2026</w:t>
            </w:r>
            <w:r>
              <w:rPr>
                <w:rFonts w:hint="eastAsia" w:cs="宋体"/>
                <w:color w:val="000000"/>
                <w:kern w:val="0"/>
                <w:sz w:val="24"/>
                <w:szCs w:val="24"/>
              </w:rPr>
              <w:t>年</w:t>
            </w:r>
            <w:r>
              <w:rPr>
                <w:rFonts w:cs="宋体"/>
                <w:color w:val="000000"/>
                <w:kern w:val="0"/>
                <w:sz w:val="24"/>
                <w:szCs w:val="24"/>
              </w:rPr>
              <w:t>6</w:t>
            </w:r>
            <w:r>
              <w:rPr>
                <w:rFonts w:hint="eastAsia" w:cs="宋体"/>
                <w:color w:val="000000"/>
                <w:kern w:val="0"/>
                <w:sz w:val="24"/>
                <w:szCs w:val="24"/>
              </w:rPr>
              <w:t>月仍处于勘察过程，未拨付。</w:t>
            </w:r>
            <w:r>
              <w:rPr>
                <w:rFonts w:cs="宋体"/>
                <w:color w:val="000000"/>
                <w:kern w:val="0"/>
                <w:sz w:val="24"/>
                <w:szCs w:val="24"/>
              </w:rPr>
              <w:br w:type="textWrapping"/>
            </w:r>
            <w:r>
              <w:rPr>
                <w:rFonts w:cs="宋体"/>
                <w:color w:val="000000"/>
                <w:kern w:val="0"/>
                <w:sz w:val="24"/>
                <w:szCs w:val="24"/>
              </w:rPr>
              <w:br w:type="textWrapping"/>
            </w:r>
            <w:r>
              <w:rPr>
                <w:rFonts w:hint="eastAsia" w:cs="宋体"/>
                <w:color w:val="000000"/>
                <w:kern w:val="0"/>
                <w:sz w:val="24"/>
                <w:szCs w:val="24"/>
              </w:rPr>
              <w:t>综上，此项得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1152"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6</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资金分配合理性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资金分配原则和标准、分配因素、程序及结果等是否合理。</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资金分配与项目需求匹配，在不同项目、不同用途之间合理分配，得</w:t>
            </w:r>
            <w:r>
              <w:rPr>
                <w:rFonts w:cs="宋体"/>
                <w:color w:val="000000"/>
                <w:kern w:val="0"/>
                <w:sz w:val="24"/>
                <w:szCs w:val="24"/>
              </w:rPr>
              <w:t>4</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根据大赛《费用预算表》，赛事组织经费分配合理性有待提升。分析赛事组织经费结构发现，组织经费应充分保障赛事评审、总决赛落地、项目训练营、投融资对接、赛后企业服务等核心支出，非必要会务、冗余物料、重复宣传、异地低效差旅等弹性支出仍有压缩空间。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1152"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7</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资金支出率</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预算安排资金与实际支付资金、结转资金的情况，用以反映资金预算安排的科学性、准确性和合理性。评价要点</w:t>
            </w:r>
            <w:r>
              <w:rPr>
                <w:rFonts w:cs="宋体"/>
                <w:color w:val="000000"/>
                <w:kern w:val="0"/>
                <w:sz w:val="24"/>
                <w:szCs w:val="24"/>
              </w:rPr>
              <w:t>:</w:t>
            </w:r>
            <w:r>
              <w:rPr>
                <w:rFonts w:cs="宋体"/>
                <w:color w:val="000000"/>
                <w:kern w:val="0"/>
                <w:sz w:val="24"/>
                <w:szCs w:val="24"/>
              </w:rPr>
              <w:br w:type="textWrapping"/>
            </w:r>
            <w:r>
              <w:rPr>
                <w:rFonts w:hint="eastAsia" w:cs="宋体"/>
                <w:color w:val="000000"/>
                <w:kern w:val="0"/>
                <w:sz w:val="24"/>
                <w:szCs w:val="24"/>
              </w:rPr>
              <w:t>资金支出率</w:t>
            </w:r>
            <w:r>
              <w:rPr>
                <w:rFonts w:cs="宋体"/>
                <w:color w:val="000000"/>
                <w:kern w:val="0"/>
                <w:sz w:val="24"/>
                <w:szCs w:val="24"/>
              </w:rPr>
              <w:t>=[</w:t>
            </w:r>
            <w:r>
              <w:rPr>
                <w:rFonts w:hint="eastAsia" w:cs="宋体"/>
                <w:color w:val="000000"/>
                <w:kern w:val="0"/>
                <w:sz w:val="24"/>
                <w:szCs w:val="24"/>
              </w:rPr>
              <w:t>实际支出金额</w:t>
            </w:r>
            <w:r>
              <w:rPr>
                <w:rFonts w:cs="宋体"/>
                <w:color w:val="000000"/>
                <w:kern w:val="0"/>
                <w:sz w:val="24"/>
                <w:szCs w:val="24"/>
              </w:rPr>
              <w:t>/</w:t>
            </w:r>
            <w:r>
              <w:rPr>
                <w:rFonts w:hint="eastAsia" w:cs="宋体"/>
                <w:color w:val="000000"/>
                <w:kern w:val="0"/>
                <w:sz w:val="24"/>
                <w:szCs w:val="24"/>
              </w:rPr>
              <w:t>调整后预算数</w:t>
            </w:r>
            <w:r>
              <w:rPr>
                <w:rFonts w:cs="宋体"/>
                <w:color w:val="000000"/>
                <w:kern w:val="0"/>
                <w:sz w:val="24"/>
                <w:szCs w:val="24"/>
              </w:rPr>
              <w:t>]x100%</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预算执行率大于等于</w:t>
            </w:r>
            <w:r>
              <w:rPr>
                <w:rFonts w:cs="宋体"/>
                <w:color w:val="000000"/>
                <w:kern w:val="0"/>
                <w:sz w:val="24"/>
                <w:szCs w:val="24"/>
              </w:rPr>
              <w:t>90%</w:t>
            </w:r>
            <w:r>
              <w:rPr>
                <w:rFonts w:hint="eastAsia" w:cs="宋体"/>
                <w:color w:val="000000"/>
                <w:kern w:val="0"/>
                <w:sz w:val="24"/>
                <w:szCs w:val="24"/>
              </w:rPr>
              <w:t>，满分；小于</w:t>
            </w:r>
            <w:r>
              <w:rPr>
                <w:rFonts w:cs="宋体"/>
                <w:color w:val="000000"/>
                <w:kern w:val="0"/>
                <w:sz w:val="24"/>
                <w:szCs w:val="24"/>
              </w:rPr>
              <w:t>90%</w:t>
            </w:r>
            <w:r>
              <w:rPr>
                <w:rFonts w:hint="eastAsia" w:cs="宋体"/>
                <w:color w:val="000000"/>
                <w:kern w:val="0"/>
                <w:sz w:val="24"/>
                <w:szCs w:val="24"/>
              </w:rPr>
              <w:t>，大于等于</w:t>
            </w:r>
            <w:r>
              <w:rPr>
                <w:rFonts w:cs="宋体"/>
                <w:color w:val="000000"/>
                <w:kern w:val="0"/>
                <w:sz w:val="24"/>
                <w:szCs w:val="24"/>
              </w:rPr>
              <w:t>75%</w:t>
            </w:r>
            <w:r>
              <w:rPr>
                <w:rFonts w:hint="eastAsia" w:cs="宋体"/>
                <w:color w:val="000000"/>
                <w:kern w:val="0"/>
                <w:sz w:val="24"/>
                <w:szCs w:val="24"/>
              </w:rPr>
              <w:t>，得</w:t>
            </w:r>
            <w:r>
              <w:rPr>
                <w:rFonts w:cs="宋体"/>
                <w:color w:val="000000"/>
                <w:kern w:val="0"/>
                <w:sz w:val="24"/>
                <w:szCs w:val="24"/>
              </w:rPr>
              <w:t>3</w:t>
            </w:r>
            <w:r>
              <w:rPr>
                <w:rFonts w:hint="eastAsia" w:cs="宋体"/>
                <w:color w:val="000000"/>
                <w:kern w:val="0"/>
                <w:sz w:val="24"/>
                <w:szCs w:val="24"/>
              </w:rPr>
              <w:t>分；小于</w:t>
            </w:r>
            <w:r>
              <w:rPr>
                <w:rFonts w:cs="宋体"/>
                <w:color w:val="000000"/>
                <w:kern w:val="0"/>
                <w:sz w:val="24"/>
                <w:szCs w:val="24"/>
              </w:rPr>
              <w:t>75%</w:t>
            </w:r>
            <w:r>
              <w:rPr>
                <w:rFonts w:hint="eastAsia" w:cs="宋体"/>
                <w:color w:val="000000"/>
                <w:kern w:val="0"/>
                <w:sz w:val="24"/>
                <w:szCs w:val="24"/>
              </w:rPr>
              <w:t>，大于等于</w:t>
            </w:r>
            <w:r>
              <w:rPr>
                <w:rFonts w:cs="宋体"/>
                <w:color w:val="000000"/>
                <w:kern w:val="0"/>
                <w:sz w:val="24"/>
                <w:szCs w:val="24"/>
              </w:rPr>
              <w:t>50%</w:t>
            </w:r>
            <w:r>
              <w:rPr>
                <w:rFonts w:hint="eastAsia" w:cs="宋体"/>
                <w:color w:val="000000"/>
                <w:kern w:val="0"/>
                <w:sz w:val="24"/>
                <w:szCs w:val="24"/>
              </w:rPr>
              <w:t>，得</w:t>
            </w:r>
            <w:r>
              <w:rPr>
                <w:rFonts w:cs="宋体"/>
                <w:color w:val="000000"/>
                <w:kern w:val="0"/>
                <w:sz w:val="24"/>
                <w:szCs w:val="24"/>
              </w:rPr>
              <w:t>2</w:t>
            </w:r>
            <w:r>
              <w:rPr>
                <w:rFonts w:hint="eastAsia" w:cs="宋体"/>
                <w:color w:val="000000"/>
                <w:kern w:val="0"/>
                <w:sz w:val="24"/>
                <w:szCs w:val="24"/>
              </w:rPr>
              <w:t>分；小于</w:t>
            </w:r>
            <w:r>
              <w:rPr>
                <w:rFonts w:cs="宋体"/>
                <w:color w:val="000000"/>
                <w:kern w:val="0"/>
                <w:sz w:val="24"/>
                <w:szCs w:val="24"/>
              </w:rPr>
              <w:t>50%</w:t>
            </w:r>
            <w:r>
              <w:rPr>
                <w:rFonts w:hint="eastAsia" w:cs="宋体"/>
                <w:color w:val="000000"/>
                <w:kern w:val="0"/>
                <w:sz w:val="24"/>
                <w:szCs w:val="24"/>
              </w:rPr>
              <w:t>大于等于</w:t>
            </w:r>
            <w:r>
              <w:rPr>
                <w:rFonts w:cs="宋体"/>
                <w:color w:val="000000"/>
                <w:kern w:val="0"/>
                <w:sz w:val="24"/>
                <w:szCs w:val="24"/>
              </w:rPr>
              <w:t>25%</w:t>
            </w:r>
            <w:r>
              <w:rPr>
                <w:rFonts w:hint="eastAsia" w:cs="宋体"/>
                <w:color w:val="000000"/>
                <w:kern w:val="0"/>
                <w:sz w:val="24"/>
                <w:szCs w:val="24"/>
              </w:rPr>
              <w:t>，得</w:t>
            </w:r>
            <w:r>
              <w:rPr>
                <w:rFonts w:cs="宋体"/>
                <w:color w:val="000000"/>
                <w:kern w:val="0"/>
                <w:sz w:val="24"/>
                <w:szCs w:val="24"/>
              </w:rPr>
              <w:t>1</w:t>
            </w:r>
            <w:r>
              <w:rPr>
                <w:rFonts w:hint="eastAsia" w:cs="宋体"/>
                <w:color w:val="000000"/>
                <w:kern w:val="0"/>
                <w:sz w:val="24"/>
                <w:szCs w:val="24"/>
              </w:rPr>
              <w:t>分，其余不得分。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2023-2025</w:t>
            </w:r>
            <w:r>
              <w:rPr>
                <w:rFonts w:hint="eastAsia" w:cs="宋体"/>
                <w:color w:val="000000"/>
                <w:kern w:val="0"/>
                <w:sz w:val="24"/>
                <w:szCs w:val="24"/>
              </w:rPr>
              <w:t>年，赛事承办经费和赛事奖励经费预算执行率分别为</w:t>
            </w:r>
            <w:r>
              <w:rPr>
                <w:rFonts w:cs="宋体"/>
                <w:color w:val="000000"/>
                <w:kern w:val="0"/>
                <w:sz w:val="24"/>
                <w:szCs w:val="24"/>
              </w:rPr>
              <w:t>49.29%</w:t>
            </w:r>
            <w:r>
              <w:rPr>
                <w:rFonts w:hint="eastAsia" w:cs="宋体"/>
                <w:color w:val="000000"/>
                <w:kern w:val="0"/>
                <w:sz w:val="24"/>
                <w:szCs w:val="24"/>
              </w:rPr>
              <w:t>（</w:t>
            </w:r>
            <w:r>
              <w:rPr>
                <w:rFonts w:cs="宋体"/>
                <w:color w:val="000000"/>
                <w:kern w:val="0"/>
                <w:sz w:val="24"/>
                <w:szCs w:val="24"/>
              </w:rPr>
              <w:t>488/990</w:t>
            </w:r>
            <w:r>
              <w:rPr>
                <w:rFonts w:hint="eastAsia" w:cs="宋体"/>
                <w:color w:val="000000"/>
                <w:kern w:val="0"/>
                <w:sz w:val="24"/>
                <w:szCs w:val="24"/>
              </w:rPr>
              <w:t>）、</w:t>
            </w:r>
            <w:r>
              <w:rPr>
                <w:rFonts w:cs="宋体"/>
                <w:color w:val="000000"/>
                <w:kern w:val="0"/>
                <w:sz w:val="24"/>
                <w:szCs w:val="24"/>
              </w:rPr>
              <w:t>41.12%(584.846/1422.4)</w:t>
            </w:r>
            <w:r>
              <w:rPr>
                <w:rFonts w:hint="eastAsia" w:cs="宋体"/>
                <w:color w:val="000000"/>
                <w:kern w:val="0"/>
                <w:sz w:val="24"/>
                <w:szCs w:val="24"/>
              </w:rPr>
              <w:t>、</w:t>
            </w:r>
            <w:r>
              <w:rPr>
                <w:rFonts w:cs="宋体"/>
                <w:color w:val="000000"/>
                <w:kern w:val="0"/>
                <w:sz w:val="24"/>
                <w:szCs w:val="24"/>
              </w:rPr>
              <w:t>14.13%</w:t>
            </w:r>
            <w:r>
              <w:rPr>
                <w:rFonts w:hint="eastAsia" w:cs="宋体"/>
                <w:color w:val="000000"/>
                <w:kern w:val="0"/>
                <w:sz w:val="24"/>
                <w:szCs w:val="24"/>
              </w:rPr>
              <w:t>（</w:t>
            </w:r>
            <w:r>
              <w:rPr>
                <w:rFonts w:cs="宋体"/>
                <w:color w:val="000000"/>
                <w:kern w:val="0"/>
                <w:sz w:val="24"/>
                <w:szCs w:val="24"/>
              </w:rPr>
              <w:t>279.9/1980</w:t>
            </w:r>
            <w:r>
              <w:rPr>
                <w:rFonts w:hint="eastAsia" w:cs="宋体"/>
                <w:color w:val="000000"/>
                <w:kern w:val="0"/>
                <w:sz w:val="24"/>
                <w:szCs w:val="24"/>
              </w:rPr>
              <w:t>），近三年预算执行率均低于</w:t>
            </w:r>
            <w:r>
              <w:rPr>
                <w:rFonts w:cs="宋体"/>
                <w:color w:val="000000"/>
                <w:kern w:val="0"/>
                <w:sz w:val="24"/>
                <w:szCs w:val="24"/>
              </w:rPr>
              <w:t>50%</w:t>
            </w:r>
            <w:r>
              <w:rPr>
                <w:rFonts w:hint="eastAsia" w:cs="宋体"/>
                <w:color w:val="000000"/>
                <w:kern w:val="0"/>
                <w:sz w:val="24"/>
                <w:szCs w:val="24"/>
              </w:rPr>
              <w:t>。此项得</w:t>
            </w:r>
            <w:r>
              <w:rPr>
                <w:rFonts w:cs="宋体"/>
                <w:color w:val="000000"/>
                <w:kern w:val="0"/>
                <w:sz w:val="24"/>
                <w:szCs w:val="24"/>
              </w:rPr>
              <w:t>1</w:t>
            </w:r>
            <w:r>
              <w:rPr>
                <w:rFonts w:hint="eastAsia" w:cs="宋体"/>
                <w:color w:val="000000"/>
                <w:kern w:val="0"/>
                <w:sz w:val="24"/>
                <w:szCs w:val="24"/>
              </w:rPr>
              <w:t>分。</w:t>
            </w:r>
          </w:p>
        </w:tc>
      </w:tr>
      <w:tr>
        <w:tblPrEx>
          <w:tblCellMar>
            <w:top w:w="0" w:type="dxa"/>
            <w:left w:w="108" w:type="dxa"/>
            <w:bottom w:w="0" w:type="dxa"/>
            <w:right w:w="108" w:type="dxa"/>
          </w:tblCellMar>
        </w:tblPrEx>
        <w:trPr>
          <w:trHeight w:val="3168"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8</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资金支出规范性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反映大赛组织经费、奖励经费的支出程序、用途、会计核算等是否合规。</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预算执行规范性</w:t>
            </w:r>
            <w:r>
              <w:rPr>
                <w:rFonts w:cs="宋体"/>
                <w:color w:val="000000"/>
                <w:kern w:val="0"/>
                <w:sz w:val="24"/>
                <w:szCs w:val="24"/>
              </w:rPr>
              <w:t>1</w:t>
            </w:r>
            <w:r>
              <w:rPr>
                <w:rFonts w:hint="eastAsia" w:cs="宋体"/>
                <w:color w:val="000000"/>
                <w:kern w:val="0"/>
                <w:sz w:val="24"/>
                <w:szCs w:val="24"/>
              </w:rPr>
              <w:t>分，按规定履行调整报批手续或未发生调整的，且按事项完成进度支付资金的得满分，否则酌情扣分。</w:t>
            </w:r>
            <w:r>
              <w:rPr>
                <w:rFonts w:cs="宋体"/>
                <w:color w:val="000000"/>
                <w:kern w:val="0"/>
                <w:sz w:val="24"/>
                <w:szCs w:val="24"/>
              </w:rPr>
              <w:br w:type="textWrapping"/>
            </w:r>
            <w:r>
              <w:rPr>
                <w:rFonts w:cs="宋体"/>
                <w:color w:val="000000"/>
                <w:kern w:val="0"/>
                <w:sz w:val="24"/>
                <w:szCs w:val="24"/>
              </w:rPr>
              <w:t>2.</w:t>
            </w:r>
            <w:r>
              <w:rPr>
                <w:rFonts w:hint="eastAsia" w:cs="宋体"/>
                <w:color w:val="000000"/>
                <w:kern w:val="0"/>
                <w:sz w:val="24"/>
                <w:szCs w:val="24"/>
              </w:rPr>
              <w:t>事项支出的合规性</w:t>
            </w:r>
            <w:r>
              <w:rPr>
                <w:rFonts w:cs="宋体"/>
                <w:color w:val="000000"/>
                <w:kern w:val="0"/>
                <w:sz w:val="24"/>
                <w:szCs w:val="24"/>
              </w:rPr>
              <w:t>1.5</w:t>
            </w:r>
            <w:r>
              <w:rPr>
                <w:rFonts w:hint="eastAsia" w:cs="宋体"/>
                <w:color w:val="000000"/>
                <w:kern w:val="0"/>
                <w:sz w:val="24"/>
                <w:szCs w:val="24"/>
              </w:rPr>
              <w:t>分，资金管理、费用标准、支付符合有关制度规定的得满分，超范围、超标准支出，虚列支出，截留、挤占、挪用资金的，以及其他不符合制度规定支出的，视情节严重情况扣分，每发现</w:t>
            </w:r>
            <w:r>
              <w:rPr>
                <w:rFonts w:cs="宋体"/>
                <w:color w:val="000000"/>
                <w:kern w:val="0"/>
                <w:sz w:val="24"/>
                <w:szCs w:val="24"/>
              </w:rPr>
              <w:t>1</w:t>
            </w:r>
            <w:r>
              <w:rPr>
                <w:rFonts w:hint="eastAsia" w:cs="宋体"/>
                <w:color w:val="000000"/>
                <w:kern w:val="0"/>
                <w:sz w:val="24"/>
                <w:szCs w:val="24"/>
              </w:rPr>
              <w:t>例扣</w:t>
            </w:r>
            <w:r>
              <w:rPr>
                <w:rFonts w:cs="宋体"/>
                <w:color w:val="000000"/>
                <w:kern w:val="0"/>
                <w:sz w:val="24"/>
                <w:szCs w:val="24"/>
              </w:rPr>
              <w:t>0.1</w:t>
            </w:r>
            <w:r>
              <w:rPr>
                <w:rFonts w:hint="eastAsia" w:cs="宋体"/>
                <w:color w:val="000000"/>
                <w:kern w:val="0"/>
                <w:sz w:val="24"/>
                <w:szCs w:val="24"/>
              </w:rPr>
              <w:t>分，直至扣到</w:t>
            </w:r>
            <w:r>
              <w:rPr>
                <w:rFonts w:cs="宋体"/>
                <w:color w:val="000000"/>
                <w:kern w:val="0"/>
                <w:sz w:val="24"/>
                <w:szCs w:val="24"/>
              </w:rPr>
              <w:t>0</w:t>
            </w:r>
            <w:r>
              <w:rPr>
                <w:rFonts w:hint="eastAsia" w:cs="宋体"/>
                <w:color w:val="000000"/>
                <w:kern w:val="0"/>
                <w:sz w:val="24"/>
                <w:szCs w:val="24"/>
              </w:rPr>
              <w:t>分。</w:t>
            </w:r>
            <w:r>
              <w:rPr>
                <w:rFonts w:cs="宋体"/>
                <w:color w:val="000000"/>
                <w:kern w:val="0"/>
                <w:sz w:val="24"/>
                <w:szCs w:val="24"/>
              </w:rPr>
              <w:br w:type="textWrapping"/>
            </w:r>
            <w:r>
              <w:rPr>
                <w:rFonts w:cs="宋体"/>
                <w:color w:val="000000"/>
                <w:kern w:val="0"/>
                <w:sz w:val="24"/>
                <w:szCs w:val="24"/>
              </w:rPr>
              <w:t>3.</w:t>
            </w:r>
            <w:r>
              <w:rPr>
                <w:rFonts w:hint="eastAsia" w:cs="宋体"/>
                <w:color w:val="000000"/>
                <w:kern w:val="0"/>
                <w:sz w:val="24"/>
                <w:szCs w:val="24"/>
              </w:rPr>
              <w:t>会计核算规范性</w:t>
            </w:r>
            <w:r>
              <w:rPr>
                <w:rFonts w:cs="宋体"/>
                <w:color w:val="000000"/>
                <w:kern w:val="0"/>
                <w:sz w:val="24"/>
                <w:szCs w:val="24"/>
              </w:rPr>
              <w:t>0.5</w:t>
            </w:r>
            <w:r>
              <w:rPr>
                <w:rFonts w:hint="eastAsia" w:cs="宋体"/>
                <w:color w:val="000000"/>
                <w:kern w:val="0"/>
                <w:sz w:val="24"/>
                <w:szCs w:val="24"/>
              </w:rPr>
              <w:t>分，规范执行会计核算制度得满分，未按规定设专账核算，或支出凭证不符合规定，或其他核算不规范的，视具体情况扣分。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大赛经费按规定履行调整报批手续；资金管理、支付符合相关制度规定。</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事项管理</w:t>
            </w: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实施程序</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9</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程序规范性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项目实施是否符合相关管理规定，反映大赛报批程序、招标采购、合同管理等方面的管理制度执行情况。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依据基础信息和证据判断项目立项、招标、采购、实施等程序是否按照相关规定执行，项目调整（如有）手续是否齐备，视实际情况核定分数。</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个别项目实施的程序规范性有待提升。例如，</w:t>
            </w:r>
            <w:r>
              <w:rPr>
                <w:rFonts w:cs="宋体"/>
                <w:color w:val="000000"/>
                <w:kern w:val="0"/>
                <w:sz w:val="24"/>
                <w:szCs w:val="24"/>
              </w:rPr>
              <w:t>2024</w:t>
            </w:r>
            <w:r>
              <w:rPr>
                <w:rFonts w:hint="eastAsia" w:cs="宋体"/>
                <w:color w:val="000000"/>
                <w:kern w:val="0"/>
                <w:sz w:val="24"/>
                <w:szCs w:val="24"/>
              </w:rPr>
              <w:t>年创赛组织承办服务合同的签约日期为</w:t>
            </w:r>
            <w:r>
              <w:rPr>
                <w:rFonts w:cs="宋体"/>
                <w:color w:val="000000"/>
                <w:kern w:val="0"/>
                <w:sz w:val="24"/>
                <w:szCs w:val="24"/>
              </w:rPr>
              <w:t>2024</w:t>
            </w:r>
            <w:r>
              <w:rPr>
                <w:rFonts w:hint="eastAsia" w:cs="宋体"/>
                <w:color w:val="000000"/>
                <w:kern w:val="0"/>
                <w:sz w:val="24"/>
                <w:szCs w:val="24"/>
              </w:rPr>
              <w:t>年</w:t>
            </w:r>
            <w:r>
              <w:rPr>
                <w:rFonts w:cs="宋体"/>
                <w:color w:val="000000"/>
                <w:kern w:val="0"/>
                <w:sz w:val="24"/>
                <w:szCs w:val="24"/>
              </w:rPr>
              <w:t>4</w:t>
            </w:r>
            <w:r>
              <w:rPr>
                <w:rFonts w:hint="eastAsia" w:cs="宋体"/>
                <w:color w:val="000000"/>
                <w:kern w:val="0"/>
                <w:sz w:val="24"/>
                <w:szCs w:val="24"/>
              </w:rPr>
              <w:t>月</w:t>
            </w:r>
            <w:r>
              <w:rPr>
                <w:rFonts w:cs="宋体"/>
                <w:color w:val="000000"/>
                <w:kern w:val="0"/>
                <w:sz w:val="24"/>
                <w:szCs w:val="24"/>
              </w:rPr>
              <w:t>24</w:t>
            </w:r>
            <w:r>
              <w:rPr>
                <w:rFonts w:hint="eastAsia" w:cs="宋体"/>
                <w:color w:val="000000"/>
                <w:kern w:val="0"/>
                <w:sz w:val="24"/>
                <w:szCs w:val="24"/>
              </w:rPr>
              <w:t>日，项目服务周期为</w:t>
            </w:r>
            <w:r>
              <w:rPr>
                <w:rFonts w:cs="宋体"/>
                <w:color w:val="000000"/>
                <w:kern w:val="0"/>
                <w:sz w:val="24"/>
                <w:szCs w:val="24"/>
              </w:rPr>
              <w:t>2024</w:t>
            </w:r>
            <w:r>
              <w:rPr>
                <w:rFonts w:hint="eastAsia" w:cs="宋体"/>
                <w:color w:val="000000"/>
                <w:kern w:val="0"/>
                <w:sz w:val="24"/>
                <w:szCs w:val="24"/>
              </w:rPr>
              <w:t>年</w:t>
            </w:r>
            <w:r>
              <w:rPr>
                <w:rFonts w:cs="宋体"/>
                <w:color w:val="000000"/>
                <w:kern w:val="0"/>
                <w:sz w:val="24"/>
                <w:szCs w:val="24"/>
              </w:rPr>
              <w:t>4</w:t>
            </w:r>
            <w:r>
              <w:rPr>
                <w:rFonts w:hint="eastAsia" w:cs="宋体"/>
                <w:color w:val="000000"/>
                <w:kern w:val="0"/>
                <w:sz w:val="24"/>
                <w:szCs w:val="24"/>
              </w:rPr>
              <w:t>月</w:t>
            </w:r>
            <w:r>
              <w:rPr>
                <w:rFonts w:cs="宋体"/>
                <w:color w:val="000000"/>
                <w:kern w:val="0"/>
                <w:sz w:val="24"/>
                <w:szCs w:val="24"/>
              </w:rPr>
              <w:t>18</w:t>
            </w:r>
            <w:r>
              <w:rPr>
                <w:rFonts w:hint="eastAsia" w:cs="宋体"/>
                <w:color w:val="000000"/>
                <w:kern w:val="0"/>
                <w:sz w:val="24"/>
                <w:szCs w:val="24"/>
              </w:rPr>
              <w:t>日</w:t>
            </w:r>
            <w:r>
              <w:rPr>
                <w:rFonts w:cs="宋体"/>
                <w:color w:val="000000"/>
                <w:kern w:val="0"/>
                <w:sz w:val="24"/>
                <w:szCs w:val="24"/>
              </w:rPr>
              <w:t>-2024</w:t>
            </w:r>
            <w:r>
              <w:rPr>
                <w:rFonts w:hint="eastAsia" w:cs="宋体"/>
                <w:color w:val="000000"/>
                <w:kern w:val="0"/>
                <w:sz w:val="24"/>
                <w:szCs w:val="24"/>
              </w:rPr>
              <w:t>年</w:t>
            </w:r>
            <w:r>
              <w:rPr>
                <w:rFonts w:cs="宋体"/>
                <w:color w:val="000000"/>
                <w:kern w:val="0"/>
                <w:sz w:val="24"/>
                <w:szCs w:val="24"/>
              </w:rPr>
              <w:t>12</w:t>
            </w:r>
            <w:r>
              <w:rPr>
                <w:rFonts w:hint="eastAsia" w:cs="宋体"/>
                <w:color w:val="000000"/>
                <w:kern w:val="0"/>
                <w:sz w:val="24"/>
                <w:szCs w:val="24"/>
              </w:rPr>
              <w:t>月</w:t>
            </w:r>
            <w:r>
              <w:rPr>
                <w:rFonts w:cs="宋体"/>
                <w:color w:val="000000"/>
                <w:kern w:val="0"/>
                <w:sz w:val="24"/>
                <w:szCs w:val="24"/>
              </w:rPr>
              <w:t>1</w:t>
            </w:r>
            <w:r>
              <w:rPr>
                <w:rFonts w:hint="eastAsia" w:cs="宋体"/>
                <w:color w:val="000000"/>
                <w:kern w:val="0"/>
                <w:sz w:val="24"/>
                <w:szCs w:val="24"/>
              </w:rPr>
              <w:t>日，合同服务周期应在签约周期之后，存在管理瑕疵。此项得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1152"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管理情况</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10</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项目质量控制有效性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项目实施单位是否为达到项目质量要求而采取了必需的措施，反映对项目质量的控制情况。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依据相关信息和证据判断项目实施单位是否制定或具备相应的项目质量要求和标准，是否采取了相应的项目质量检查、验收等控制措施，保障大赛按时按质量完成。</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项目承办单位采取了相应的项目质量检查、验收等控制措施，保障大赛按时按质量完成。</w:t>
            </w:r>
          </w:p>
        </w:tc>
      </w:tr>
      <w:tr>
        <w:tblPrEx>
          <w:tblCellMar>
            <w:top w:w="0" w:type="dxa"/>
            <w:left w:w="108" w:type="dxa"/>
            <w:bottom w:w="0" w:type="dxa"/>
            <w:right w:w="108" w:type="dxa"/>
          </w:tblCellMar>
        </w:tblPrEx>
        <w:trPr>
          <w:trHeight w:val="773" w:hRule="atLeast"/>
        </w:trPr>
        <w:tc>
          <w:tcPr>
            <w:tcW w:w="290"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产出和效益（</w:t>
            </w:r>
            <w:r>
              <w:rPr>
                <w:rFonts w:cs="宋体"/>
                <w:color w:val="000000"/>
                <w:kern w:val="0"/>
                <w:sz w:val="24"/>
                <w:szCs w:val="24"/>
              </w:rPr>
              <w:t>60</w:t>
            </w:r>
            <w:r>
              <w:rPr>
                <w:rFonts w:hint="eastAsia" w:cs="宋体"/>
                <w:color w:val="000000"/>
                <w:kern w:val="0"/>
                <w:sz w:val="24"/>
                <w:szCs w:val="24"/>
              </w:rPr>
              <w:t>分）</w:t>
            </w:r>
          </w:p>
        </w:tc>
        <w:tc>
          <w:tcPr>
            <w:tcW w:w="267"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产出</w:t>
            </w: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数量指标</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11</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组织宣传工作任</w:t>
            </w:r>
            <w:r>
              <w:rPr>
                <w:rFonts w:cs="宋体"/>
                <w:color w:val="000000"/>
                <w:kern w:val="0"/>
                <w:sz w:val="24"/>
                <w:szCs w:val="24"/>
              </w:rPr>
              <w:br w:type="textWrapping"/>
            </w:r>
            <w:r>
              <w:rPr>
                <w:rFonts w:hint="eastAsia" w:cs="宋体"/>
                <w:color w:val="000000"/>
                <w:kern w:val="0"/>
                <w:sz w:val="24"/>
                <w:szCs w:val="24"/>
              </w:rPr>
              <w:t>务完成率</w:t>
            </w:r>
          </w:p>
        </w:tc>
        <w:tc>
          <w:tcPr>
            <w:tcW w:w="6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任务实际完成率指项目实施的实际产出数与计划产出数的比率，用以反映和考核项目产出数量目标的实现程度。</w:t>
            </w:r>
            <w:r>
              <w:rPr>
                <w:rFonts w:cs="宋体"/>
                <w:color w:val="000000"/>
                <w:kern w:val="0"/>
                <w:sz w:val="24"/>
                <w:szCs w:val="24"/>
              </w:rPr>
              <w:br w:type="textWrapping"/>
            </w:r>
            <w:r>
              <w:rPr>
                <w:rFonts w:hint="eastAsia" w:cs="宋体"/>
                <w:color w:val="000000"/>
                <w:kern w:val="0"/>
                <w:sz w:val="24"/>
                <w:szCs w:val="24"/>
              </w:rPr>
              <w:t>评价要点</w:t>
            </w:r>
            <w:r>
              <w:rPr>
                <w:rFonts w:cs="宋体"/>
                <w:color w:val="000000"/>
                <w:kern w:val="0"/>
                <w:sz w:val="24"/>
                <w:szCs w:val="24"/>
              </w:rPr>
              <w:t>:</w:t>
            </w:r>
            <w:r>
              <w:rPr>
                <w:rFonts w:cs="宋体"/>
                <w:color w:val="000000"/>
                <w:kern w:val="0"/>
                <w:sz w:val="24"/>
                <w:szCs w:val="24"/>
              </w:rPr>
              <w:br w:type="textWrapping"/>
            </w:r>
            <w:r>
              <w:rPr>
                <w:rFonts w:hint="eastAsia" w:cs="宋体"/>
                <w:color w:val="000000"/>
                <w:kern w:val="0"/>
                <w:sz w:val="24"/>
                <w:szCs w:val="24"/>
              </w:rPr>
              <w:t>任务完成率</w:t>
            </w:r>
            <w:r>
              <w:rPr>
                <w:rFonts w:cs="宋体"/>
                <w:color w:val="000000"/>
                <w:kern w:val="0"/>
                <w:sz w:val="24"/>
                <w:szCs w:val="24"/>
              </w:rPr>
              <w:t>=</w:t>
            </w:r>
            <w:r>
              <w:rPr>
                <w:rFonts w:hint="eastAsia" w:cs="宋体"/>
                <w:color w:val="000000"/>
                <w:kern w:val="0"/>
                <w:sz w:val="24"/>
                <w:szCs w:val="24"/>
              </w:rPr>
              <w:t>（组织宣传实际完成任务量</w:t>
            </w:r>
            <w:r>
              <w:rPr>
                <w:rFonts w:cs="宋体"/>
                <w:color w:val="000000"/>
                <w:kern w:val="0"/>
                <w:sz w:val="24"/>
                <w:szCs w:val="24"/>
              </w:rPr>
              <w:t>/</w:t>
            </w:r>
            <w:r>
              <w:rPr>
                <w:rFonts w:hint="eastAsia" w:cs="宋体"/>
                <w:color w:val="000000"/>
                <w:kern w:val="0"/>
                <w:sz w:val="24"/>
                <w:szCs w:val="24"/>
              </w:rPr>
              <w:t>计划完成任务量）</w:t>
            </w:r>
            <w:r>
              <w:rPr>
                <w:rFonts w:cs="宋体"/>
                <w:color w:val="000000"/>
                <w:kern w:val="0"/>
                <w:sz w:val="24"/>
                <w:szCs w:val="24"/>
              </w:rPr>
              <w:t>x100%</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工作任务完成率</w:t>
            </w:r>
            <w:r>
              <w:rPr>
                <w:rFonts w:cs="宋体"/>
                <w:color w:val="000000"/>
                <w:kern w:val="0"/>
                <w:sz w:val="24"/>
                <w:szCs w:val="24"/>
              </w:rPr>
              <w:t>100%</w:t>
            </w:r>
            <w:r>
              <w:rPr>
                <w:rFonts w:hint="eastAsia" w:cs="宋体"/>
                <w:color w:val="000000"/>
                <w:kern w:val="0"/>
                <w:sz w:val="24"/>
                <w:szCs w:val="24"/>
              </w:rPr>
              <w:t>，得</w:t>
            </w:r>
            <w:r>
              <w:rPr>
                <w:rFonts w:cs="宋体"/>
                <w:color w:val="000000"/>
                <w:kern w:val="0"/>
                <w:sz w:val="24"/>
                <w:szCs w:val="24"/>
              </w:rPr>
              <w:t>4</w:t>
            </w:r>
            <w:r>
              <w:rPr>
                <w:rFonts w:hint="eastAsia" w:cs="宋体"/>
                <w:color w:val="000000"/>
                <w:kern w:val="0"/>
                <w:sz w:val="24"/>
                <w:szCs w:val="24"/>
              </w:rPr>
              <w:t>分；完成</w:t>
            </w:r>
            <w:r>
              <w:rPr>
                <w:rFonts w:cs="宋体"/>
                <w:color w:val="000000"/>
                <w:kern w:val="0"/>
                <w:sz w:val="24"/>
                <w:szCs w:val="24"/>
              </w:rPr>
              <w:t>85%</w:t>
            </w:r>
            <w:r>
              <w:rPr>
                <w:rFonts w:hint="eastAsia" w:cs="宋体"/>
                <w:color w:val="000000"/>
                <w:kern w:val="0"/>
                <w:sz w:val="24"/>
                <w:szCs w:val="24"/>
              </w:rPr>
              <w:t>至</w:t>
            </w:r>
            <w:r>
              <w:rPr>
                <w:rFonts w:cs="宋体"/>
                <w:color w:val="000000"/>
                <w:kern w:val="0"/>
                <w:sz w:val="24"/>
                <w:szCs w:val="24"/>
              </w:rPr>
              <w:br w:type="textWrapping"/>
            </w:r>
            <w:r>
              <w:rPr>
                <w:rFonts w:cs="宋体"/>
                <w:color w:val="000000"/>
                <w:kern w:val="0"/>
                <w:sz w:val="24"/>
                <w:szCs w:val="24"/>
              </w:rPr>
              <w:t>99%</w:t>
            </w:r>
            <w:r>
              <w:rPr>
                <w:rFonts w:hint="eastAsia" w:cs="宋体"/>
                <w:color w:val="000000"/>
                <w:kern w:val="0"/>
                <w:sz w:val="24"/>
                <w:szCs w:val="24"/>
              </w:rPr>
              <w:t>，得</w:t>
            </w:r>
            <w:r>
              <w:rPr>
                <w:rFonts w:cs="宋体"/>
                <w:color w:val="000000"/>
                <w:kern w:val="0"/>
                <w:sz w:val="24"/>
                <w:szCs w:val="24"/>
              </w:rPr>
              <w:t>2</w:t>
            </w:r>
            <w:r>
              <w:rPr>
                <w:rFonts w:hint="eastAsia" w:cs="宋体"/>
                <w:color w:val="000000"/>
                <w:kern w:val="0"/>
                <w:sz w:val="24"/>
                <w:szCs w:val="24"/>
              </w:rPr>
              <w:t>分；其余不得分。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近三年，组织宣传任务按计划完成，宣传区域覆盖东莞、深圳、武汉、西安、成都、北京、上海等科创城市。此项满分。</w:t>
            </w:r>
          </w:p>
        </w:tc>
      </w:tr>
      <w:tr>
        <w:tblPrEx>
          <w:tblCellMar>
            <w:top w:w="0" w:type="dxa"/>
            <w:left w:w="108" w:type="dxa"/>
            <w:bottom w:w="0" w:type="dxa"/>
            <w:right w:w="108" w:type="dxa"/>
          </w:tblCellMar>
        </w:tblPrEx>
        <w:trPr>
          <w:trHeight w:val="576"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12</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参赛项目数量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反映大赛吸引企业参赛情况。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参赛项目数量达到年度目标，超额完成满分，未完成的按达标率评分。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近三年，大赛吸引参赛企业数分别为</w:t>
            </w:r>
            <w:r>
              <w:rPr>
                <w:rFonts w:cs="宋体"/>
                <w:color w:val="000000"/>
                <w:kern w:val="0"/>
                <w:sz w:val="24"/>
                <w:szCs w:val="24"/>
              </w:rPr>
              <w:t>628</w:t>
            </w:r>
            <w:r>
              <w:rPr>
                <w:rFonts w:hint="eastAsia" w:cs="宋体"/>
                <w:color w:val="000000"/>
                <w:kern w:val="0"/>
                <w:sz w:val="24"/>
                <w:szCs w:val="24"/>
              </w:rPr>
              <w:t>家、</w:t>
            </w:r>
            <w:r>
              <w:rPr>
                <w:rFonts w:cs="宋体"/>
                <w:color w:val="000000"/>
                <w:kern w:val="0"/>
                <w:sz w:val="24"/>
                <w:szCs w:val="24"/>
              </w:rPr>
              <w:t>712</w:t>
            </w:r>
            <w:r>
              <w:rPr>
                <w:rFonts w:hint="eastAsia" w:cs="宋体"/>
                <w:color w:val="000000"/>
                <w:kern w:val="0"/>
                <w:sz w:val="24"/>
                <w:szCs w:val="24"/>
              </w:rPr>
              <w:t>家、</w:t>
            </w:r>
            <w:r>
              <w:rPr>
                <w:rFonts w:cs="宋体"/>
                <w:color w:val="000000"/>
                <w:kern w:val="0"/>
                <w:sz w:val="24"/>
                <w:szCs w:val="24"/>
              </w:rPr>
              <w:t>619</w:t>
            </w:r>
            <w:r>
              <w:rPr>
                <w:rFonts w:hint="eastAsia" w:cs="宋体"/>
                <w:color w:val="000000"/>
                <w:kern w:val="0"/>
                <w:sz w:val="24"/>
                <w:szCs w:val="24"/>
              </w:rPr>
              <w:t>家，平均每年吸引</w:t>
            </w:r>
            <w:r>
              <w:rPr>
                <w:rFonts w:cs="宋体"/>
                <w:color w:val="000000"/>
                <w:kern w:val="0"/>
                <w:sz w:val="24"/>
                <w:szCs w:val="24"/>
              </w:rPr>
              <w:t>653</w:t>
            </w:r>
            <w:r>
              <w:rPr>
                <w:rFonts w:hint="eastAsia" w:cs="宋体"/>
                <w:color w:val="000000"/>
                <w:kern w:val="0"/>
                <w:sz w:val="24"/>
                <w:szCs w:val="24"/>
              </w:rPr>
              <w:t>家企业参赛，远超年度目标（≥</w:t>
            </w:r>
            <w:r>
              <w:rPr>
                <w:rFonts w:cs="宋体"/>
                <w:color w:val="000000"/>
                <w:kern w:val="0"/>
                <w:sz w:val="24"/>
                <w:szCs w:val="24"/>
              </w:rPr>
              <w:t>400</w:t>
            </w:r>
            <w:r>
              <w:rPr>
                <w:rFonts w:hint="eastAsia" w:cs="宋体"/>
                <w:color w:val="000000"/>
                <w:kern w:val="0"/>
                <w:sz w:val="24"/>
                <w:szCs w:val="24"/>
              </w:rPr>
              <w:t>家）。此项满分。</w:t>
            </w:r>
          </w:p>
        </w:tc>
      </w:tr>
      <w:tr>
        <w:tblPrEx>
          <w:tblCellMar>
            <w:top w:w="0" w:type="dxa"/>
            <w:left w:w="108" w:type="dxa"/>
            <w:bottom w:w="0" w:type="dxa"/>
            <w:right w:w="108" w:type="dxa"/>
          </w:tblCellMar>
        </w:tblPrEx>
        <w:trPr>
          <w:trHeight w:val="576"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13</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奖励项目数量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反映参赛企业获奖情况。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获奖项目数达到年度目标，超额完成满分，未完成的按达标率评分。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近三年，参赛企业获奖数量分别为</w:t>
            </w:r>
            <w:r>
              <w:rPr>
                <w:rFonts w:cs="宋体"/>
                <w:color w:val="000000"/>
                <w:kern w:val="0"/>
                <w:sz w:val="24"/>
                <w:szCs w:val="24"/>
              </w:rPr>
              <w:t>105</w:t>
            </w:r>
            <w:r>
              <w:rPr>
                <w:rFonts w:hint="eastAsia" w:cs="宋体"/>
                <w:color w:val="000000"/>
                <w:kern w:val="0"/>
                <w:sz w:val="24"/>
                <w:szCs w:val="24"/>
              </w:rPr>
              <w:t>家、</w:t>
            </w:r>
            <w:r>
              <w:rPr>
                <w:rFonts w:cs="宋体"/>
                <w:color w:val="000000"/>
                <w:kern w:val="0"/>
                <w:sz w:val="24"/>
                <w:szCs w:val="24"/>
              </w:rPr>
              <w:t>57</w:t>
            </w:r>
            <w:r>
              <w:rPr>
                <w:rFonts w:hint="eastAsia" w:cs="宋体"/>
                <w:color w:val="000000"/>
                <w:kern w:val="0"/>
                <w:sz w:val="24"/>
                <w:szCs w:val="24"/>
              </w:rPr>
              <w:t>家、</w:t>
            </w:r>
            <w:r>
              <w:rPr>
                <w:rFonts w:cs="宋体"/>
                <w:color w:val="000000"/>
                <w:kern w:val="0"/>
                <w:sz w:val="24"/>
                <w:szCs w:val="24"/>
              </w:rPr>
              <w:t>72</w:t>
            </w:r>
            <w:r>
              <w:rPr>
                <w:rFonts w:hint="eastAsia" w:cs="宋体"/>
                <w:color w:val="000000"/>
                <w:kern w:val="0"/>
                <w:sz w:val="24"/>
                <w:szCs w:val="24"/>
              </w:rPr>
              <w:t>家，每年平均获奖项目数为</w:t>
            </w:r>
            <w:r>
              <w:rPr>
                <w:rFonts w:cs="宋体"/>
                <w:color w:val="000000"/>
                <w:kern w:val="0"/>
                <w:sz w:val="24"/>
                <w:szCs w:val="24"/>
              </w:rPr>
              <w:t>78</w:t>
            </w:r>
            <w:r>
              <w:rPr>
                <w:rFonts w:hint="eastAsia" w:cs="宋体"/>
                <w:color w:val="000000"/>
                <w:kern w:val="0"/>
                <w:sz w:val="24"/>
                <w:szCs w:val="24"/>
              </w:rPr>
              <w:t>家，超过年度目标（≥</w:t>
            </w:r>
            <w:r>
              <w:rPr>
                <w:rFonts w:cs="宋体"/>
                <w:color w:val="000000"/>
                <w:kern w:val="0"/>
                <w:sz w:val="24"/>
                <w:szCs w:val="24"/>
              </w:rPr>
              <w:t>2</w:t>
            </w:r>
            <w:r>
              <w:rPr>
                <w:rFonts w:hint="eastAsia" w:cs="宋体"/>
                <w:color w:val="000000"/>
                <w:kern w:val="0"/>
                <w:sz w:val="24"/>
                <w:szCs w:val="24"/>
              </w:rPr>
              <w:t>家）。此项满分。</w:t>
            </w:r>
          </w:p>
        </w:tc>
      </w:tr>
      <w:tr>
        <w:tblPrEx>
          <w:tblCellMar>
            <w:top w:w="0" w:type="dxa"/>
            <w:left w:w="108" w:type="dxa"/>
            <w:bottom w:w="0" w:type="dxa"/>
            <w:right w:w="108" w:type="dxa"/>
          </w:tblCellMar>
        </w:tblPrEx>
        <w:trPr>
          <w:trHeight w:val="576"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质量指标</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14</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参赛企业落地转化率</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反映参赛企业落地情况。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参赛企业落地转化率呈增长趋势。</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近三年，参赛企业落地转化率分别为</w:t>
            </w:r>
            <w:r>
              <w:rPr>
                <w:rFonts w:cs="宋体"/>
                <w:color w:val="000000"/>
                <w:kern w:val="0"/>
                <w:sz w:val="24"/>
                <w:szCs w:val="24"/>
              </w:rPr>
              <w:t>8%</w:t>
            </w:r>
            <w:r>
              <w:rPr>
                <w:rFonts w:hint="eastAsia" w:cs="宋体"/>
                <w:color w:val="000000"/>
                <w:kern w:val="0"/>
                <w:sz w:val="24"/>
                <w:szCs w:val="24"/>
              </w:rPr>
              <w:t>、</w:t>
            </w:r>
            <w:r>
              <w:rPr>
                <w:rFonts w:cs="宋体"/>
                <w:color w:val="000000"/>
                <w:kern w:val="0"/>
                <w:sz w:val="24"/>
                <w:szCs w:val="24"/>
              </w:rPr>
              <w:t>6%</w:t>
            </w:r>
            <w:r>
              <w:rPr>
                <w:rFonts w:hint="eastAsia" w:cs="宋体"/>
                <w:color w:val="000000"/>
                <w:kern w:val="0"/>
                <w:sz w:val="24"/>
                <w:szCs w:val="24"/>
              </w:rPr>
              <w:t>、</w:t>
            </w:r>
            <w:r>
              <w:rPr>
                <w:rFonts w:cs="宋体"/>
                <w:color w:val="000000"/>
                <w:kern w:val="0"/>
                <w:sz w:val="24"/>
                <w:szCs w:val="24"/>
              </w:rPr>
              <w:t>10%</w:t>
            </w:r>
            <w:r>
              <w:rPr>
                <w:rFonts w:hint="eastAsia" w:cs="宋体"/>
                <w:color w:val="000000"/>
                <w:kern w:val="0"/>
                <w:sz w:val="24"/>
                <w:szCs w:val="24"/>
              </w:rPr>
              <w:t>，参赛企业落地转化年均增长率为</w:t>
            </w:r>
            <w:r>
              <w:rPr>
                <w:rFonts w:cs="宋体"/>
                <w:color w:val="000000"/>
                <w:kern w:val="0"/>
                <w:sz w:val="24"/>
                <w:szCs w:val="24"/>
              </w:rPr>
              <w:t>1%</w:t>
            </w:r>
            <w:r>
              <w:rPr>
                <w:rFonts w:hint="eastAsia" w:cs="宋体"/>
                <w:color w:val="000000"/>
                <w:kern w:val="0"/>
                <w:sz w:val="24"/>
                <w:szCs w:val="24"/>
              </w:rPr>
              <w:t>。此项满分。</w:t>
            </w:r>
          </w:p>
        </w:tc>
      </w:tr>
      <w:tr>
        <w:tblPrEx>
          <w:tblCellMar>
            <w:top w:w="0" w:type="dxa"/>
            <w:left w:w="108" w:type="dxa"/>
            <w:bottom w:w="0" w:type="dxa"/>
            <w:right w:w="108" w:type="dxa"/>
          </w:tblCellMar>
        </w:tblPrEx>
        <w:trPr>
          <w:trHeight w:val="576"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15</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获奖项目落地转化率</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反映获奖项目落地转化情况。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获奖企业落地转化率呈增长趋势。</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近三年，获奖企业落地转化率分别为</w:t>
            </w:r>
            <w:r>
              <w:rPr>
                <w:rFonts w:cs="宋体"/>
                <w:color w:val="000000"/>
                <w:kern w:val="0"/>
                <w:sz w:val="24"/>
                <w:szCs w:val="24"/>
              </w:rPr>
              <w:t>22%</w:t>
            </w:r>
            <w:r>
              <w:rPr>
                <w:rFonts w:hint="eastAsia" w:cs="宋体"/>
                <w:color w:val="000000"/>
                <w:kern w:val="0"/>
                <w:sz w:val="24"/>
                <w:szCs w:val="24"/>
              </w:rPr>
              <w:t>（</w:t>
            </w:r>
            <w:r>
              <w:rPr>
                <w:rFonts w:cs="宋体"/>
                <w:color w:val="000000"/>
                <w:kern w:val="0"/>
                <w:sz w:val="24"/>
                <w:szCs w:val="24"/>
              </w:rPr>
              <w:t>23/105</w:t>
            </w:r>
            <w:r>
              <w:rPr>
                <w:rFonts w:hint="eastAsia" w:cs="宋体"/>
                <w:color w:val="000000"/>
                <w:kern w:val="0"/>
                <w:sz w:val="24"/>
                <w:szCs w:val="24"/>
              </w:rPr>
              <w:t>）、</w:t>
            </w:r>
            <w:r>
              <w:rPr>
                <w:rFonts w:cs="宋体"/>
                <w:color w:val="000000"/>
                <w:kern w:val="0"/>
                <w:sz w:val="24"/>
                <w:szCs w:val="24"/>
              </w:rPr>
              <w:t>79%(45/57)</w:t>
            </w:r>
            <w:r>
              <w:rPr>
                <w:rFonts w:hint="eastAsia" w:cs="宋体"/>
                <w:color w:val="000000"/>
                <w:kern w:val="0"/>
                <w:sz w:val="24"/>
                <w:szCs w:val="24"/>
              </w:rPr>
              <w:t>、</w:t>
            </w:r>
            <w:r>
              <w:rPr>
                <w:rFonts w:cs="宋体"/>
                <w:color w:val="000000"/>
                <w:kern w:val="0"/>
                <w:sz w:val="24"/>
                <w:szCs w:val="24"/>
              </w:rPr>
              <w:t>86%</w:t>
            </w:r>
            <w:r>
              <w:rPr>
                <w:rFonts w:hint="eastAsia" w:cs="宋体"/>
                <w:color w:val="000000"/>
                <w:kern w:val="0"/>
                <w:sz w:val="24"/>
                <w:szCs w:val="24"/>
              </w:rPr>
              <w:t>（</w:t>
            </w:r>
            <w:r>
              <w:rPr>
                <w:rFonts w:cs="宋体"/>
                <w:color w:val="000000"/>
                <w:kern w:val="0"/>
                <w:sz w:val="24"/>
                <w:szCs w:val="24"/>
              </w:rPr>
              <w:t>62/72</w:t>
            </w:r>
            <w:r>
              <w:rPr>
                <w:rFonts w:hint="eastAsia" w:cs="宋体"/>
                <w:color w:val="000000"/>
                <w:kern w:val="0"/>
                <w:sz w:val="24"/>
                <w:szCs w:val="24"/>
              </w:rPr>
              <w:t>），获奖企业落地转化年平均增长</w:t>
            </w:r>
            <w:r>
              <w:rPr>
                <w:rFonts w:cs="宋体"/>
                <w:color w:val="000000"/>
                <w:kern w:val="0"/>
                <w:sz w:val="24"/>
                <w:szCs w:val="24"/>
              </w:rPr>
              <w:t>21%</w:t>
            </w:r>
            <w:r>
              <w:rPr>
                <w:rFonts w:hint="eastAsia" w:cs="宋体"/>
                <w:color w:val="000000"/>
                <w:kern w:val="0"/>
                <w:sz w:val="24"/>
                <w:szCs w:val="24"/>
              </w:rPr>
              <w:t>。此项满分。</w:t>
            </w:r>
          </w:p>
        </w:tc>
      </w:tr>
      <w:tr>
        <w:tblPrEx>
          <w:tblCellMar>
            <w:top w:w="0" w:type="dxa"/>
            <w:left w:w="108" w:type="dxa"/>
            <w:bottom w:w="0" w:type="dxa"/>
            <w:right w:w="108" w:type="dxa"/>
          </w:tblCellMar>
        </w:tblPrEx>
        <w:trPr>
          <w:trHeight w:val="1440"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16</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引进企业留存率</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反映落地项目在园区留存和长期成长情况。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引进项目能长期留存在园区并发展壮大。得分</w:t>
            </w:r>
            <w:r>
              <w:rPr>
                <w:rFonts w:cs="宋体"/>
                <w:color w:val="000000"/>
                <w:kern w:val="0"/>
                <w:sz w:val="24"/>
                <w:szCs w:val="24"/>
              </w:rPr>
              <w:t>=</w:t>
            </w:r>
            <w:r>
              <w:rPr>
                <w:rFonts w:hint="eastAsia" w:cs="宋体"/>
                <w:color w:val="000000"/>
                <w:kern w:val="0"/>
                <w:sz w:val="24"/>
                <w:szCs w:val="24"/>
              </w:rPr>
              <w:t>指标分数</w:t>
            </w:r>
            <w:r>
              <w:rPr>
                <w:rFonts w:cs="宋体"/>
                <w:color w:val="000000"/>
                <w:kern w:val="0"/>
                <w:sz w:val="24"/>
                <w:szCs w:val="24"/>
              </w:rPr>
              <w:t>*</w:t>
            </w:r>
            <w:r>
              <w:rPr>
                <w:rFonts w:hint="eastAsia" w:cs="宋体"/>
                <w:color w:val="000000"/>
                <w:kern w:val="0"/>
                <w:sz w:val="24"/>
                <w:szCs w:val="24"/>
              </w:rPr>
              <w:t>留存率。</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2.96</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2015</w:t>
            </w:r>
            <w:r>
              <w:rPr>
                <w:rFonts w:hint="eastAsia" w:cs="宋体"/>
                <w:color w:val="000000"/>
                <w:kern w:val="0"/>
                <w:sz w:val="24"/>
                <w:szCs w:val="24"/>
              </w:rPr>
              <w:t>年以来，共引进企业</w:t>
            </w:r>
            <w:r>
              <w:rPr>
                <w:rFonts w:cs="宋体"/>
                <w:color w:val="000000"/>
                <w:kern w:val="0"/>
                <w:sz w:val="24"/>
                <w:szCs w:val="24"/>
              </w:rPr>
              <w:t>238</w:t>
            </w:r>
            <w:r>
              <w:rPr>
                <w:rFonts w:hint="eastAsia" w:cs="宋体"/>
                <w:color w:val="000000"/>
                <w:kern w:val="0"/>
                <w:sz w:val="24"/>
                <w:szCs w:val="24"/>
              </w:rPr>
              <w:t>家，</w:t>
            </w:r>
            <w:r>
              <w:rPr>
                <w:rFonts w:cs="宋体"/>
                <w:color w:val="000000"/>
                <w:kern w:val="0"/>
                <w:sz w:val="24"/>
                <w:szCs w:val="24"/>
              </w:rPr>
              <w:t>62</w:t>
            </w:r>
            <w:r>
              <w:rPr>
                <w:rFonts w:hint="eastAsia" w:cs="宋体"/>
                <w:color w:val="000000"/>
                <w:kern w:val="0"/>
                <w:sz w:val="24"/>
                <w:szCs w:val="24"/>
              </w:rPr>
              <w:t>家已注销或迁出，引进企业留存率</w:t>
            </w:r>
            <w:r>
              <w:rPr>
                <w:rFonts w:cs="宋体"/>
                <w:color w:val="000000"/>
                <w:kern w:val="0"/>
                <w:sz w:val="24"/>
                <w:szCs w:val="24"/>
              </w:rPr>
              <w:t>73.95%</w:t>
            </w:r>
            <w:r>
              <w:rPr>
                <w:rFonts w:hint="eastAsia" w:cs="宋体"/>
                <w:color w:val="000000"/>
                <w:kern w:val="0"/>
                <w:sz w:val="24"/>
                <w:szCs w:val="24"/>
              </w:rPr>
              <w:t>。其中，</w:t>
            </w:r>
            <w:r>
              <w:rPr>
                <w:rFonts w:cs="宋体"/>
                <w:color w:val="000000"/>
                <w:kern w:val="0"/>
                <w:sz w:val="24"/>
                <w:szCs w:val="24"/>
              </w:rPr>
              <w:t>56</w:t>
            </w:r>
            <w:r>
              <w:rPr>
                <w:rFonts w:hint="eastAsia" w:cs="宋体"/>
                <w:color w:val="000000"/>
                <w:kern w:val="0"/>
                <w:sz w:val="24"/>
                <w:szCs w:val="24"/>
              </w:rPr>
              <w:t>家企业因经营不善或者水土不服已经注销，</w:t>
            </w:r>
            <w:r>
              <w:rPr>
                <w:rFonts w:cs="宋体"/>
                <w:color w:val="000000"/>
                <w:kern w:val="0"/>
                <w:sz w:val="24"/>
                <w:szCs w:val="24"/>
              </w:rPr>
              <w:t>6</w:t>
            </w:r>
            <w:r>
              <w:rPr>
                <w:rFonts w:hint="eastAsia" w:cs="宋体"/>
                <w:color w:val="000000"/>
                <w:kern w:val="0"/>
                <w:sz w:val="24"/>
                <w:szCs w:val="24"/>
              </w:rPr>
              <w:t>家企业随着发展部分或者全部搬离松山湖园区。主要原因：</w:t>
            </w:r>
            <w:r>
              <w:rPr>
                <w:rFonts w:cs="宋体"/>
                <w:color w:val="000000"/>
                <w:kern w:val="0"/>
                <w:sz w:val="24"/>
                <w:szCs w:val="24"/>
              </w:rPr>
              <w:t>1.</w:t>
            </w:r>
            <w:r>
              <w:rPr>
                <w:rFonts w:hint="eastAsia" w:cs="宋体"/>
                <w:color w:val="000000"/>
                <w:kern w:val="0"/>
                <w:sz w:val="24"/>
                <w:szCs w:val="24"/>
              </w:rPr>
              <w:t>外部引入项目由于缺乏本地基础更易夭折；</w:t>
            </w:r>
            <w:r>
              <w:rPr>
                <w:rFonts w:cs="宋体"/>
                <w:color w:val="000000"/>
                <w:kern w:val="0"/>
                <w:sz w:val="24"/>
                <w:szCs w:val="24"/>
              </w:rPr>
              <w:t>2.</w:t>
            </w:r>
            <w:r>
              <w:rPr>
                <w:rFonts w:hint="eastAsia" w:cs="宋体"/>
                <w:color w:val="000000"/>
                <w:kern w:val="0"/>
                <w:sz w:val="24"/>
                <w:szCs w:val="24"/>
              </w:rPr>
              <w:t>企业在发展壮大以后，尤其是制造业，所面临的经营成本较大，园区的生产要素成本侧优势不明显。此项得</w:t>
            </w:r>
            <w:r>
              <w:rPr>
                <w:rFonts w:cs="宋体"/>
                <w:color w:val="000000"/>
                <w:kern w:val="0"/>
                <w:sz w:val="24"/>
                <w:szCs w:val="24"/>
              </w:rPr>
              <w:t>2.96</w:t>
            </w:r>
            <w:r>
              <w:rPr>
                <w:rFonts w:hint="eastAsia" w:cs="宋体"/>
                <w:color w:val="000000"/>
                <w:kern w:val="0"/>
                <w:sz w:val="24"/>
                <w:szCs w:val="24"/>
              </w:rPr>
              <w:t>分。</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效益</w:t>
            </w: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经济效益</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17</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落地企业上市</w:t>
            </w:r>
            <w:r>
              <w:rPr>
                <w:rFonts w:cs="宋体"/>
                <w:color w:val="000000"/>
                <w:kern w:val="0"/>
                <w:sz w:val="24"/>
                <w:szCs w:val="24"/>
              </w:rPr>
              <w:t>/</w:t>
            </w:r>
            <w:r>
              <w:rPr>
                <w:rFonts w:hint="eastAsia" w:cs="宋体"/>
                <w:color w:val="000000"/>
                <w:kern w:val="0"/>
                <w:sz w:val="24"/>
                <w:szCs w:val="24"/>
              </w:rPr>
              <w:t>后备上市数量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反映落地企业经培育后上市</w:t>
            </w:r>
            <w:r>
              <w:rPr>
                <w:rFonts w:cs="宋体"/>
                <w:color w:val="000000"/>
                <w:kern w:val="0"/>
                <w:sz w:val="24"/>
                <w:szCs w:val="24"/>
              </w:rPr>
              <w:t>/</w:t>
            </w:r>
            <w:r>
              <w:rPr>
                <w:rFonts w:hint="eastAsia" w:cs="宋体"/>
                <w:color w:val="000000"/>
                <w:kern w:val="0"/>
                <w:sz w:val="24"/>
                <w:szCs w:val="24"/>
              </w:rPr>
              <w:t>后备上市情况。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落地企业经培育成为上市企业或上市后备企业。</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目前共</w:t>
            </w:r>
            <w:r>
              <w:rPr>
                <w:rFonts w:cs="宋体"/>
                <w:color w:val="000000"/>
                <w:kern w:val="0"/>
                <w:sz w:val="24"/>
                <w:szCs w:val="24"/>
              </w:rPr>
              <w:t>3</w:t>
            </w:r>
            <w:r>
              <w:rPr>
                <w:rFonts w:hint="eastAsia" w:cs="宋体"/>
                <w:color w:val="000000"/>
                <w:kern w:val="0"/>
                <w:sz w:val="24"/>
                <w:szCs w:val="24"/>
              </w:rPr>
              <w:t>家上市</w:t>
            </w:r>
            <w:r>
              <w:rPr>
                <w:rFonts w:cs="宋体"/>
                <w:color w:val="000000"/>
                <w:kern w:val="0"/>
                <w:sz w:val="24"/>
                <w:szCs w:val="24"/>
              </w:rPr>
              <w:t>/</w:t>
            </w:r>
            <w:r>
              <w:rPr>
                <w:rFonts w:hint="eastAsia" w:cs="宋体"/>
                <w:color w:val="000000"/>
                <w:kern w:val="0"/>
                <w:sz w:val="24"/>
                <w:szCs w:val="24"/>
              </w:rPr>
              <w:t>后备上市企业，</w:t>
            </w:r>
            <w:r>
              <w:rPr>
                <w:rFonts w:cs="宋体"/>
                <w:color w:val="000000"/>
                <w:kern w:val="0"/>
                <w:sz w:val="24"/>
                <w:szCs w:val="24"/>
              </w:rPr>
              <w:t>3</w:t>
            </w:r>
            <w:r>
              <w:rPr>
                <w:rFonts w:hint="eastAsia" w:cs="宋体"/>
                <w:color w:val="000000"/>
                <w:kern w:val="0"/>
                <w:sz w:val="24"/>
                <w:szCs w:val="24"/>
              </w:rPr>
              <w:t>家企业均于</w:t>
            </w:r>
            <w:r>
              <w:rPr>
                <w:rFonts w:cs="宋体"/>
                <w:color w:val="000000"/>
                <w:kern w:val="0"/>
                <w:sz w:val="24"/>
                <w:szCs w:val="24"/>
              </w:rPr>
              <w:t>2017</w:t>
            </w:r>
            <w:r>
              <w:rPr>
                <w:rFonts w:hint="eastAsia" w:cs="宋体"/>
                <w:color w:val="000000"/>
                <w:kern w:val="0"/>
                <w:sz w:val="24"/>
                <w:szCs w:val="24"/>
              </w:rPr>
              <w:t>年引进。其中，广东赛微微电子股份有限公司于</w:t>
            </w:r>
            <w:r>
              <w:rPr>
                <w:rFonts w:cs="宋体"/>
                <w:color w:val="000000"/>
                <w:kern w:val="0"/>
                <w:sz w:val="24"/>
                <w:szCs w:val="24"/>
              </w:rPr>
              <w:t>2022</w:t>
            </w:r>
            <w:r>
              <w:rPr>
                <w:rFonts w:hint="eastAsia" w:cs="宋体"/>
                <w:color w:val="000000"/>
                <w:kern w:val="0"/>
                <w:sz w:val="24"/>
                <w:szCs w:val="24"/>
              </w:rPr>
              <w:t>年上市，东莞触点智能装备有限公司、广东车卫士信息科技有限公司为上市后备企业。</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18</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落地企业获高新技术企业认定数量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反映落地企业获高新技术企业认定情况。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落地企业经培育获高新技术企业认定且近三年呈增长趋势。</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目前园区落户企业中获高新技术企业认定共</w:t>
            </w:r>
            <w:r>
              <w:rPr>
                <w:rFonts w:cs="宋体"/>
                <w:color w:val="000000"/>
                <w:kern w:val="0"/>
                <w:sz w:val="24"/>
                <w:szCs w:val="24"/>
              </w:rPr>
              <w:t>37</w:t>
            </w:r>
            <w:r>
              <w:rPr>
                <w:rFonts w:hint="eastAsia" w:cs="宋体"/>
                <w:color w:val="000000"/>
                <w:kern w:val="0"/>
                <w:sz w:val="24"/>
                <w:szCs w:val="24"/>
              </w:rPr>
              <w:t>家，多为</w:t>
            </w:r>
            <w:r>
              <w:rPr>
                <w:rFonts w:cs="宋体"/>
                <w:color w:val="000000"/>
                <w:kern w:val="0"/>
                <w:sz w:val="24"/>
                <w:szCs w:val="24"/>
              </w:rPr>
              <w:t>2015</w:t>
            </w:r>
            <w:r>
              <w:rPr>
                <w:rFonts w:hint="eastAsia" w:cs="宋体"/>
                <w:color w:val="000000"/>
                <w:kern w:val="0"/>
                <w:sz w:val="24"/>
                <w:szCs w:val="24"/>
              </w:rPr>
              <w:t>年</w:t>
            </w:r>
            <w:r>
              <w:rPr>
                <w:rFonts w:cs="宋体"/>
                <w:color w:val="000000"/>
                <w:kern w:val="0"/>
                <w:sz w:val="24"/>
                <w:szCs w:val="24"/>
              </w:rPr>
              <w:t>-2021</w:t>
            </w:r>
            <w:r>
              <w:rPr>
                <w:rFonts w:hint="eastAsia" w:cs="宋体"/>
                <w:color w:val="000000"/>
                <w:kern w:val="0"/>
                <w:sz w:val="24"/>
                <w:szCs w:val="24"/>
              </w:rPr>
              <w:t>年引进企业，说明高新技术企业培育周期至少</w:t>
            </w:r>
            <w:r>
              <w:rPr>
                <w:rFonts w:cs="宋体"/>
                <w:color w:val="000000"/>
                <w:kern w:val="0"/>
                <w:sz w:val="24"/>
                <w:szCs w:val="24"/>
              </w:rPr>
              <w:t>5-10</w:t>
            </w:r>
            <w:r>
              <w:rPr>
                <w:rFonts w:hint="eastAsia" w:cs="宋体"/>
                <w:color w:val="000000"/>
                <w:kern w:val="0"/>
                <w:sz w:val="24"/>
                <w:szCs w:val="24"/>
              </w:rPr>
              <w:t>年。近三年，落地企业获高新技术企业认定数量分别为</w:t>
            </w:r>
            <w:r>
              <w:rPr>
                <w:rFonts w:cs="宋体"/>
                <w:color w:val="000000"/>
                <w:kern w:val="0"/>
                <w:sz w:val="24"/>
                <w:szCs w:val="24"/>
              </w:rPr>
              <w:t>3</w:t>
            </w:r>
            <w:r>
              <w:rPr>
                <w:rFonts w:hint="eastAsia" w:cs="宋体"/>
                <w:color w:val="000000"/>
                <w:kern w:val="0"/>
                <w:sz w:val="24"/>
                <w:szCs w:val="24"/>
              </w:rPr>
              <w:t>家、</w:t>
            </w:r>
            <w:r>
              <w:rPr>
                <w:rFonts w:cs="宋体"/>
                <w:color w:val="000000"/>
                <w:kern w:val="0"/>
                <w:sz w:val="24"/>
                <w:szCs w:val="24"/>
              </w:rPr>
              <w:t>1</w:t>
            </w:r>
            <w:r>
              <w:rPr>
                <w:rFonts w:hint="eastAsia" w:cs="宋体"/>
                <w:color w:val="000000"/>
                <w:kern w:val="0"/>
                <w:sz w:val="24"/>
                <w:szCs w:val="24"/>
              </w:rPr>
              <w:t>家、</w:t>
            </w:r>
            <w:r>
              <w:rPr>
                <w:rFonts w:cs="宋体"/>
                <w:color w:val="000000"/>
                <w:kern w:val="0"/>
                <w:sz w:val="24"/>
                <w:szCs w:val="24"/>
              </w:rPr>
              <w:t>0</w:t>
            </w:r>
            <w:r>
              <w:rPr>
                <w:rFonts w:hint="eastAsia" w:cs="宋体"/>
                <w:color w:val="000000"/>
                <w:kern w:val="0"/>
                <w:sz w:val="24"/>
                <w:szCs w:val="24"/>
              </w:rPr>
              <w:t>家。</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19</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落地企业获专精特新企业认定数量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反映落地企业获专精特新企业认定情况。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落地企业经培育获专精特新企业认定且近三年呈增长趋势。</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目前园区落户企业中获专精特新企业认定共</w:t>
            </w:r>
            <w:r>
              <w:rPr>
                <w:rFonts w:cs="宋体"/>
                <w:color w:val="000000"/>
                <w:kern w:val="0"/>
                <w:sz w:val="24"/>
                <w:szCs w:val="24"/>
              </w:rPr>
              <w:t>11</w:t>
            </w:r>
            <w:r>
              <w:rPr>
                <w:rFonts w:hint="eastAsia" w:cs="宋体"/>
                <w:color w:val="000000"/>
                <w:kern w:val="0"/>
                <w:sz w:val="24"/>
                <w:szCs w:val="24"/>
              </w:rPr>
              <w:t>家，多集中在</w:t>
            </w:r>
            <w:r>
              <w:rPr>
                <w:rFonts w:cs="宋体"/>
                <w:color w:val="000000"/>
                <w:kern w:val="0"/>
                <w:sz w:val="24"/>
                <w:szCs w:val="24"/>
              </w:rPr>
              <w:t>2015</w:t>
            </w:r>
            <w:r>
              <w:rPr>
                <w:rFonts w:hint="eastAsia" w:cs="宋体"/>
                <w:color w:val="000000"/>
                <w:kern w:val="0"/>
                <w:sz w:val="24"/>
                <w:szCs w:val="24"/>
              </w:rPr>
              <w:t>年</w:t>
            </w:r>
            <w:r>
              <w:rPr>
                <w:rFonts w:cs="宋体"/>
                <w:color w:val="000000"/>
                <w:kern w:val="0"/>
                <w:sz w:val="24"/>
                <w:szCs w:val="24"/>
              </w:rPr>
              <w:t>-2020</w:t>
            </w:r>
            <w:r>
              <w:rPr>
                <w:rFonts w:hint="eastAsia" w:cs="宋体"/>
                <w:color w:val="000000"/>
                <w:kern w:val="0"/>
                <w:sz w:val="24"/>
                <w:szCs w:val="24"/>
              </w:rPr>
              <w:t>年引进企业，其中</w:t>
            </w:r>
            <w:r>
              <w:rPr>
                <w:rFonts w:cs="宋体"/>
                <w:color w:val="000000"/>
                <w:kern w:val="0"/>
                <w:sz w:val="24"/>
                <w:szCs w:val="24"/>
              </w:rPr>
              <w:t>2017</w:t>
            </w:r>
            <w:r>
              <w:rPr>
                <w:rFonts w:hint="eastAsia" w:cs="宋体"/>
                <w:color w:val="000000"/>
                <w:kern w:val="0"/>
                <w:sz w:val="24"/>
                <w:szCs w:val="24"/>
              </w:rPr>
              <w:t>年引进的企业获专精特新认定的最多（</w:t>
            </w:r>
            <w:r>
              <w:rPr>
                <w:rFonts w:cs="宋体"/>
                <w:color w:val="000000"/>
                <w:kern w:val="0"/>
                <w:sz w:val="24"/>
                <w:szCs w:val="24"/>
              </w:rPr>
              <w:t>5</w:t>
            </w:r>
            <w:r>
              <w:rPr>
                <w:rFonts w:hint="eastAsia" w:cs="宋体"/>
                <w:color w:val="000000"/>
                <w:kern w:val="0"/>
                <w:sz w:val="24"/>
                <w:szCs w:val="24"/>
              </w:rPr>
              <w:t>家），近三年落户企业未获得专精特性企业认定。</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20</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落地企业获科技型中小企业数量</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反映落地企业获科技型中小企业认定情况。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落地企业经培育获科技型中小企业认定且近三年呈增长趋势。</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目前，园区落户企业中获科技型中小企业认定共</w:t>
            </w:r>
            <w:r>
              <w:rPr>
                <w:rFonts w:cs="宋体"/>
                <w:color w:val="000000"/>
                <w:kern w:val="0"/>
                <w:sz w:val="24"/>
                <w:szCs w:val="24"/>
              </w:rPr>
              <w:t>22</w:t>
            </w:r>
            <w:r>
              <w:rPr>
                <w:rFonts w:hint="eastAsia" w:cs="宋体"/>
                <w:color w:val="000000"/>
                <w:kern w:val="0"/>
                <w:sz w:val="24"/>
                <w:szCs w:val="24"/>
              </w:rPr>
              <w:t>家，多集中在</w:t>
            </w:r>
            <w:r>
              <w:rPr>
                <w:rFonts w:cs="宋体"/>
                <w:color w:val="000000"/>
                <w:kern w:val="0"/>
                <w:sz w:val="24"/>
                <w:szCs w:val="24"/>
              </w:rPr>
              <w:t>2021-2024</w:t>
            </w:r>
            <w:r>
              <w:rPr>
                <w:rFonts w:hint="eastAsia" w:cs="宋体"/>
                <w:color w:val="000000"/>
                <w:kern w:val="0"/>
                <w:sz w:val="24"/>
                <w:szCs w:val="24"/>
              </w:rPr>
              <w:t>年引进企业，说明科技中小企业培育周期为</w:t>
            </w:r>
            <w:r>
              <w:rPr>
                <w:rFonts w:cs="宋体"/>
                <w:color w:val="000000"/>
                <w:kern w:val="0"/>
                <w:sz w:val="24"/>
                <w:szCs w:val="24"/>
              </w:rPr>
              <w:t>2-5</w:t>
            </w:r>
            <w:r>
              <w:rPr>
                <w:rFonts w:hint="eastAsia" w:cs="宋体"/>
                <w:color w:val="000000"/>
                <w:kern w:val="0"/>
                <w:sz w:val="24"/>
                <w:szCs w:val="24"/>
              </w:rPr>
              <w:t>年。近三年落户企业获得科技型中小企业认定分别为</w:t>
            </w:r>
            <w:r>
              <w:rPr>
                <w:rFonts w:cs="宋体"/>
                <w:color w:val="000000"/>
                <w:kern w:val="0"/>
                <w:sz w:val="24"/>
                <w:szCs w:val="24"/>
              </w:rPr>
              <w:t>4</w:t>
            </w:r>
            <w:r>
              <w:rPr>
                <w:rFonts w:hint="eastAsia" w:cs="宋体"/>
                <w:color w:val="000000"/>
                <w:kern w:val="0"/>
                <w:sz w:val="24"/>
                <w:szCs w:val="24"/>
              </w:rPr>
              <w:t>家、</w:t>
            </w:r>
            <w:r>
              <w:rPr>
                <w:rFonts w:cs="宋体"/>
                <w:color w:val="000000"/>
                <w:kern w:val="0"/>
                <w:sz w:val="24"/>
                <w:szCs w:val="24"/>
              </w:rPr>
              <w:t>6</w:t>
            </w:r>
            <w:r>
              <w:rPr>
                <w:rFonts w:hint="eastAsia" w:cs="宋体"/>
                <w:color w:val="000000"/>
                <w:kern w:val="0"/>
                <w:sz w:val="24"/>
                <w:szCs w:val="24"/>
              </w:rPr>
              <w:t>家、</w:t>
            </w:r>
            <w:r>
              <w:rPr>
                <w:rFonts w:cs="宋体"/>
                <w:color w:val="000000"/>
                <w:kern w:val="0"/>
                <w:sz w:val="24"/>
                <w:szCs w:val="24"/>
              </w:rPr>
              <w:t>1</w:t>
            </w:r>
            <w:r>
              <w:rPr>
                <w:rFonts w:hint="eastAsia" w:cs="宋体"/>
                <w:color w:val="000000"/>
                <w:kern w:val="0"/>
                <w:sz w:val="24"/>
                <w:szCs w:val="24"/>
              </w:rPr>
              <w:t>家。</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21</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企业营业收入与</w:t>
            </w:r>
            <w:r>
              <w:rPr>
                <w:rFonts w:cs="宋体"/>
                <w:color w:val="000000"/>
                <w:kern w:val="0"/>
                <w:sz w:val="24"/>
                <w:szCs w:val="24"/>
              </w:rPr>
              <w:br w:type="textWrapping"/>
            </w:r>
            <w:r>
              <w:rPr>
                <w:rFonts w:hint="eastAsia" w:cs="宋体"/>
                <w:color w:val="000000"/>
                <w:kern w:val="0"/>
                <w:sz w:val="24"/>
                <w:szCs w:val="24"/>
              </w:rPr>
              <w:t>税收贡献</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落地企业营业收入与税收情况。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近三年，获奖落地企业营业收入及税收贡献平均增长</w:t>
            </w:r>
            <w:r>
              <w:rPr>
                <w:rFonts w:cs="宋体"/>
                <w:color w:val="000000"/>
                <w:kern w:val="0"/>
                <w:sz w:val="24"/>
                <w:szCs w:val="24"/>
              </w:rPr>
              <w:t>5%</w:t>
            </w:r>
            <w:r>
              <w:rPr>
                <w:rFonts w:hint="eastAsia" w:cs="宋体"/>
                <w:color w:val="000000"/>
                <w:kern w:val="0"/>
                <w:sz w:val="24"/>
                <w:szCs w:val="24"/>
              </w:rPr>
              <w:t>及以上的，得</w:t>
            </w:r>
            <w:r>
              <w:rPr>
                <w:rFonts w:cs="宋体"/>
                <w:color w:val="000000"/>
                <w:kern w:val="0"/>
                <w:sz w:val="24"/>
                <w:szCs w:val="24"/>
              </w:rPr>
              <w:t>5</w:t>
            </w:r>
            <w:r>
              <w:rPr>
                <w:rFonts w:hint="eastAsia" w:cs="宋体"/>
                <w:color w:val="000000"/>
                <w:kern w:val="0"/>
                <w:sz w:val="24"/>
                <w:szCs w:val="24"/>
              </w:rPr>
              <w:t>分；增长</w:t>
            </w:r>
            <w:r>
              <w:rPr>
                <w:rFonts w:cs="宋体"/>
                <w:color w:val="000000"/>
                <w:kern w:val="0"/>
                <w:sz w:val="24"/>
                <w:szCs w:val="24"/>
              </w:rPr>
              <w:t>1%-4%</w:t>
            </w:r>
            <w:r>
              <w:rPr>
                <w:rFonts w:hint="eastAsia" w:cs="宋体"/>
                <w:color w:val="000000"/>
                <w:kern w:val="0"/>
                <w:sz w:val="24"/>
                <w:szCs w:val="24"/>
              </w:rPr>
              <w:t>的，得</w:t>
            </w:r>
            <w:r>
              <w:rPr>
                <w:rFonts w:cs="宋体"/>
                <w:color w:val="000000"/>
                <w:kern w:val="0"/>
                <w:sz w:val="24"/>
                <w:szCs w:val="24"/>
              </w:rPr>
              <w:t>2.5</w:t>
            </w:r>
            <w:r>
              <w:rPr>
                <w:rFonts w:hint="eastAsia" w:cs="宋体"/>
                <w:color w:val="000000"/>
                <w:kern w:val="0"/>
                <w:sz w:val="24"/>
                <w:szCs w:val="24"/>
              </w:rPr>
              <w:t>分；无增长的，不得分。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近三年，落户企业税收分别为</w:t>
            </w:r>
            <w:r>
              <w:rPr>
                <w:rFonts w:cs="宋体"/>
                <w:color w:val="000000"/>
                <w:kern w:val="0"/>
                <w:sz w:val="24"/>
                <w:szCs w:val="24"/>
              </w:rPr>
              <w:t>6924</w:t>
            </w:r>
            <w:r>
              <w:rPr>
                <w:rFonts w:hint="eastAsia" w:cs="宋体"/>
                <w:color w:val="000000"/>
                <w:kern w:val="0"/>
                <w:sz w:val="24"/>
                <w:szCs w:val="24"/>
              </w:rPr>
              <w:t>万元、</w:t>
            </w:r>
            <w:r>
              <w:rPr>
                <w:rFonts w:cs="宋体"/>
                <w:color w:val="000000"/>
                <w:kern w:val="0"/>
                <w:sz w:val="24"/>
                <w:szCs w:val="24"/>
              </w:rPr>
              <w:t>10724</w:t>
            </w:r>
            <w:r>
              <w:rPr>
                <w:rFonts w:hint="eastAsia" w:cs="宋体"/>
                <w:color w:val="000000"/>
                <w:kern w:val="0"/>
                <w:sz w:val="24"/>
                <w:szCs w:val="24"/>
              </w:rPr>
              <w:t>万元、16747万元，税收贡献年均增长率达56</w:t>
            </w:r>
            <w:r>
              <w:rPr>
                <w:rFonts w:cs="宋体"/>
                <w:color w:val="000000"/>
                <w:kern w:val="0"/>
                <w:sz w:val="24"/>
                <w:szCs w:val="24"/>
              </w:rPr>
              <w:t>%</w:t>
            </w:r>
            <w:r>
              <w:rPr>
                <w:rFonts w:hint="eastAsia" w:cs="宋体"/>
                <w:color w:val="000000"/>
                <w:kern w:val="0"/>
                <w:sz w:val="24"/>
                <w:szCs w:val="24"/>
              </w:rPr>
              <w:t>。</w:t>
            </w:r>
            <w:r>
              <w:rPr>
                <w:rFonts w:cs="宋体"/>
                <w:color w:val="000000"/>
                <w:kern w:val="0"/>
                <w:sz w:val="24"/>
                <w:szCs w:val="24"/>
              </w:rPr>
              <w:t>2.</w:t>
            </w:r>
            <w:r>
              <w:rPr>
                <w:rFonts w:hint="eastAsia" w:cs="宋体"/>
                <w:color w:val="000000"/>
                <w:kern w:val="0"/>
                <w:sz w:val="24"/>
                <w:szCs w:val="24"/>
              </w:rPr>
              <w:t>近三年，园区落户企业营收为分别为28.28亿元、39.25亿元、41.90亿元，营业收入年均增长率达22</w:t>
            </w:r>
            <w:r>
              <w:rPr>
                <w:rFonts w:cs="宋体"/>
                <w:color w:val="000000"/>
                <w:kern w:val="0"/>
                <w:sz w:val="24"/>
                <w:szCs w:val="24"/>
              </w:rPr>
              <w:t>%</w:t>
            </w:r>
            <w:r>
              <w:rPr>
                <w:rFonts w:hint="eastAsia" w:cs="宋体"/>
                <w:color w:val="000000"/>
                <w:kern w:val="0"/>
                <w:sz w:val="24"/>
                <w:szCs w:val="24"/>
              </w:rPr>
              <w:t>。此项满分。</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r>
              <w:rPr>
                <w:rFonts w:hint="eastAsia" w:cs="宋体"/>
                <w:color w:val="000000"/>
                <w:kern w:val="0"/>
                <w:sz w:val="24"/>
                <w:szCs w:val="24"/>
              </w:rPr>
              <w:t>社会效益</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22</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就业带动情况</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反映入驻企业带动就业及研发人员占比情况。</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带动科技创新人才入驻集聚，助力园区人才结构升级。</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从新增就业来看，截至</w:t>
            </w:r>
            <w:r>
              <w:rPr>
                <w:rFonts w:cs="宋体"/>
                <w:color w:val="000000"/>
                <w:kern w:val="0"/>
                <w:sz w:val="24"/>
                <w:szCs w:val="24"/>
              </w:rPr>
              <w:t>2025</w:t>
            </w:r>
            <w:r>
              <w:rPr>
                <w:rFonts w:hint="eastAsia" w:cs="宋体"/>
                <w:color w:val="000000"/>
                <w:kern w:val="0"/>
                <w:sz w:val="24"/>
                <w:szCs w:val="24"/>
              </w:rPr>
              <w:t>年，新增就业岗位</w:t>
            </w:r>
            <w:r>
              <w:rPr>
                <w:rFonts w:cs="宋体"/>
                <w:color w:val="000000"/>
                <w:kern w:val="0"/>
                <w:sz w:val="24"/>
                <w:szCs w:val="24"/>
              </w:rPr>
              <w:t>29</w:t>
            </w:r>
            <w:r>
              <w:rPr>
                <w:rFonts w:hint="eastAsia" w:cs="宋体"/>
                <w:color w:val="000000"/>
                <w:kern w:val="0"/>
                <w:sz w:val="24"/>
                <w:szCs w:val="24"/>
              </w:rPr>
              <w:t>37人，其中科技人员数量为</w:t>
            </w:r>
            <w:r>
              <w:rPr>
                <w:rFonts w:cs="宋体"/>
                <w:color w:val="000000"/>
                <w:kern w:val="0"/>
                <w:sz w:val="24"/>
                <w:szCs w:val="24"/>
              </w:rPr>
              <w:t>8</w:t>
            </w:r>
            <w:r>
              <w:rPr>
                <w:rFonts w:hint="eastAsia" w:cs="宋体"/>
                <w:color w:val="000000"/>
                <w:kern w:val="0"/>
                <w:sz w:val="24"/>
                <w:szCs w:val="24"/>
              </w:rPr>
              <w:t>80人，占比</w:t>
            </w:r>
            <w:r>
              <w:rPr>
                <w:rFonts w:cs="宋体"/>
                <w:color w:val="000000"/>
                <w:kern w:val="0"/>
                <w:sz w:val="24"/>
                <w:szCs w:val="24"/>
              </w:rPr>
              <w:t>29.9</w:t>
            </w:r>
            <w:r>
              <w:rPr>
                <w:rFonts w:hint="eastAsia" w:cs="宋体"/>
                <w:color w:val="000000"/>
                <w:kern w:val="0"/>
                <w:sz w:val="24"/>
                <w:szCs w:val="24"/>
              </w:rPr>
              <w:t>6</w:t>
            </w:r>
            <w:r>
              <w:rPr>
                <w:rFonts w:cs="宋体"/>
                <w:color w:val="000000"/>
                <w:kern w:val="0"/>
                <w:sz w:val="24"/>
                <w:szCs w:val="24"/>
              </w:rPr>
              <w:t>%</w:t>
            </w:r>
            <w:r>
              <w:rPr>
                <w:rFonts w:hint="eastAsia" w:cs="宋体"/>
                <w:color w:val="000000"/>
                <w:kern w:val="0"/>
                <w:sz w:val="24"/>
                <w:szCs w:val="24"/>
              </w:rPr>
              <w:t>。整体就业结构呈现明显的</w:t>
            </w:r>
            <w:r>
              <w:rPr>
                <w:rFonts w:cs="宋体"/>
                <w:color w:val="000000"/>
                <w:kern w:val="0"/>
                <w:sz w:val="24"/>
                <w:szCs w:val="24"/>
              </w:rPr>
              <w:t xml:space="preserve"> </w:t>
            </w:r>
            <w:r>
              <w:rPr>
                <w:rFonts w:hint="eastAsia" w:cs="宋体"/>
                <w:color w:val="000000"/>
                <w:kern w:val="0"/>
                <w:sz w:val="24"/>
                <w:szCs w:val="24"/>
              </w:rPr>
              <w:t>“科创导向”，说明创赛引入项目不仅能创造岗位，更能带动高技能、高学历人才集聚，助力园区人才结构升级。此项满分。</w:t>
            </w:r>
          </w:p>
        </w:tc>
      </w:tr>
      <w:tr>
        <w:tblPrEx>
          <w:tblCellMar>
            <w:top w:w="0" w:type="dxa"/>
            <w:left w:w="108" w:type="dxa"/>
            <w:bottom w:w="0" w:type="dxa"/>
            <w:right w:w="108" w:type="dxa"/>
          </w:tblCellMar>
        </w:tblPrEx>
        <w:trPr>
          <w:trHeight w:val="1088"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可持续</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23</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后续政策扶持度</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反映项目后续对企业的扶持培育措施。</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项目后续对企业提供各类扶持措施，得</w:t>
            </w:r>
            <w:r>
              <w:rPr>
                <w:rFonts w:cs="宋体"/>
                <w:color w:val="000000"/>
                <w:kern w:val="0"/>
                <w:sz w:val="24"/>
                <w:szCs w:val="24"/>
              </w:rPr>
              <w:t>5</w:t>
            </w:r>
            <w:r>
              <w:rPr>
                <w:rFonts w:hint="eastAsia" w:cs="宋体"/>
                <w:color w:val="000000"/>
                <w:kern w:val="0"/>
                <w:sz w:val="24"/>
                <w:szCs w:val="24"/>
              </w:rPr>
              <w:t>分；无后续扶持计划和政策的，不得分。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引入项目支撑培育体系仍有完善空间。</w:t>
            </w:r>
            <w:r>
              <w:rPr>
                <w:rFonts w:cs="宋体"/>
                <w:color w:val="000000"/>
                <w:kern w:val="0"/>
                <w:sz w:val="24"/>
                <w:szCs w:val="24"/>
              </w:rPr>
              <w:t>1.</w:t>
            </w:r>
            <w:r>
              <w:rPr>
                <w:rFonts w:hint="eastAsia" w:cs="宋体"/>
                <w:color w:val="000000"/>
                <w:kern w:val="0"/>
                <w:sz w:val="24"/>
                <w:szCs w:val="24"/>
              </w:rPr>
              <w:t>引入项目支持机制侧重资金奖励和租金补贴，缺乏软性的辅导政策，尤其是初创团队寻找客户形成业务，融入本地产业链条或龙头企业供应链，在本地快速形成自我造血能力的针对性不足。</w:t>
            </w:r>
            <w:r>
              <w:rPr>
                <w:rFonts w:cs="宋体"/>
                <w:color w:val="000000"/>
                <w:kern w:val="0"/>
                <w:sz w:val="24"/>
                <w:szCs w:val="24"/>
              </w:rPr>
              <w:t>2.</w:t>
            </w:r>
            <w:r>
              <w:rPr>
                <w:rFonts w:hint="eastAsia" w:cs="宋体"/>
                <w:color w:val="000000"/>
                <w:kern w:val="0"/>
                <w:sz w:val="24"/>
                <w:szCs w:val="24"/>
              </w:rPr>
              <w:t>与广州、深圳相比，创赛现有奖励形式单一，过度依赖现金与租金补贴。</w:t>
            </w:r>
            <w:r>
              <w:rPr>
                <w:rFonts w:cs="宋体"/>
                <w:color w:val="000000"/>
                <w:kern w:val="0"/>
                <w:sz w:val="24"/>
                <w:szCs w:val="24"/>
              </w:rPr>
              <w:t>3.</w:t>
            </w:r>
            <w:r>
              <w:rPr>
                <w:rFonts w:hint="eastAsia" w:cs="宋体"/>
                <w:color w:val="000000"/>
                <w:kern w:val="0"/>
                <w:sz w:val="24"/>
                <w:szCs w:val="24"/>
              </w:rPr>
              <w:t>政策培养前瞻性不够，未覆盖潜力企业的长期发展需求。</w:t>
            </w:r>
            <w:r>
              <w:rPr>
                <w:rFonts w:cs="宋体"/>
                <w:color w:val="000000"/>
                <w:kern w:val="0"/>
                <w:sz w:val="24"/>
                <w:szCs w:val="24"/>
              </w:rPr>
              <w:br w:type="textWrapping"/>
            </w:r>
            <w:r>
              <w:rPr>
                <w:rFonts w:hint="eastAsia" w:cs="宋体"/>
                <w:color w:val="000000"/>
                <w:kern w:val="0"/>
                <w:sz w:val="24"/>
                <w:szCs w:val="24"/>
              </w:rPr>
              <w:t>此项得</w:t>
            </w:r>
            <w:r>
              <w:rPr>
                <w:rFonts w:cs="宋体"/>
                <w:color w:val="000000"/>
                <w:kern w:val="0"/>
                <w:sz w:val="24"/>
                <w:szCs w:val="24"/>
              </w:rPr>
              <w:t>3</w:t>
            </w:r>
            <w:r>
              <w:rPr>
                <w:rFonts w:hint="eastAsia" w:cs="宋体"/>
                <w:color w:val="000000"/>
                <w:kern w:val="0"/>
                <w:sz w:val="24"/>
                <w:szCs w:val="24"/>
              </w:rPr>
              <w:t>分。</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24</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创赛活动的可持续性</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反映大赛在制度建设、财力、物力、人力等方面投入的可持续性；项目运作机制在管理模式、全链条孵化服务体系及未来可持续影响。</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大赛在制度建设、财力、物力、人力等方面的投入可持续，得</w:t>
            </w:r>
            <w:r>
              <w:rPr>
                <w:rFonts w:cs="宋体"/>
                <w:color w:val="000000"/>
                <w:kern w:val="0"/>
                <w:sz w:val="24"/>
                <w:szCs w:val="24"/>
              </w:rPr>
              <w:t>1</w:t>
            </w:r>
            <w:r>
              <w:rPr>
                <w:rFonts w:hint="eastAsia" w:cs="宋体"/>
                <w:color w:val="000000"/>
                <w:kern w:val="0"/>
                <w:sz w:val="24"/>
                <w:szCs w:val="24"/>
              </w:rPr>
              <w:t>分；项目管理模式、全链条孵化服务体系可持续。</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项目在人财物和制度等方面的保障具有可持续性；</w:t>
            </w:r>
            <w:r>
              <w:rPr>
                <w:rFonts w:cs="宋体"/>
                <w:color w:val="000000"/>
                <w:kern w:val="0"/>
                <w:sz w:val="24"/>
                <w:szCs w:val="24"/>
              </w:rPr>
              <w:t>2.</w:t>
            </w:r>
            <w:r>
              <w:rPr>
                <w:rFonts w:hint="eastAsia" w:cs="宋体"/>
                <w:color w:val="000000"/>
                <w:kern w:val="0"/>
                <w:sz w:val="24"/>
                <w:szCs w:val="24"/>
              </w:rPr>
              <w:t>项目管理模式、全链条孵化服务体系有一定优势，支撑创赛的可持续发展。此项满分。</w:t>
            </w:r>
          </w:p>
        </w:tc>
      </w:tr>
      <w:tr>
        <w:tblPrEx>
          <w:tblCellMar>
            <w:top w:w="0" w:type="dxa"/>
            <w:left w:w="108" w:type="dxa"/>
            <w:bottom w:w="0" w:type="dxa"/>
            <w:right w:w="108" w:type="dxa"/>
          </w:tblCellMar>
        </w:tblPrEx>
        <w:trPr>
          <w:trHeight w:val="3168"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25</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影响力</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反映大赛在湾区乃至全国的辐射影响力及品牌效益，对于提升创新氛围，构建良好创新生态的促进作用。</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3</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大赛在湾区乃至全国有辐射影响力，能吸引全国项目参赛，得</w:t>
            </w:r>
            <w:r>
              <w:rPr>
                <w:rFonts w:cs="宋体"/>
                <w:color w:val="000000"/>
                <w:kern w:val="0"/>
                <w:sz w:val="24"/>
                <w:szCs w:val="24"/>
              </w:rPr>
              <w:t>1</w:t>
            </w:r>
            <w:r>
              <w:rPr>
                <w:rFonts w:hint="eastAsia" w:cs="宋体"/>
                <w:color w:val="000000"/>
                <w:kern w:val="0"/>
                <w:sz w:val="24"/>
                <w:szCs w:val="24"/>
              </w:rPr>
              <w:t>分；</w:t>
            </w:r>
            <w:r>
              <w:rPr>
                <w:rFonts w:cs="宋体"/>
                <w:color w:val="000000"/>
                <w:kern w:val="0"/>
                <w:sz w:val="24"/>
                <w:szCs w:val="24"/>
              </w:rPr>
              <w:br w:type="textWrapping"/>
            </w:r>
            <w:r>
              <w:rPr>
                <w:rFonts w:cs="宋体"/>
                <w:color w:val="000000"/>
                <w:kern w:val="0"/>
                <w:sz w:val="24"/>
                <w:szCs w:val="24"/>
              </w:rPr>
              <w:t>2.</w:t>
            </w:r>
            <w:r>
              <w:rPr>
                <w:rFonts w:hint="eastAsia" w:cs="宋体"/>
                <w:color w:val="000000"/>
                <w:kern w:val="0"/>
                <w:sz w:val="24"/>
                <w:szCs w:val="24"/>
              </w:rPr>
              <w:t>通过大赛提升了松山湖创新产业氛围，带动产业升级转型，得</w:t>
            </w:r>
            <w:r>
              <w:rPr>
                <w:rFonts w:cs="宋体"/>
                <w:color w:val="000000"/>
                <w:kern w:val="0"/>
                <w:sz w:val="24"/>
                <w:szCs w:val="24"/>
              </w:rPr>
              <w:t>2</w:t>
            </w:r>
            <w:r>
              <w:rPr>
                <w:rFonts w:hint="eastAsia" w:cs="宋体"/>
                <w:color w:val="000000"/>
                <w:kern w:val="0"/>
                <w:sz w:val="24"/>
                <w:szCs w:val="24"/>
              </w:rPr>
              <w:t>分。</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w:t>
            </w:r>
            <w:r>
              <w:rPr>
                <w:rFonts w:hint="eastAsia" w:cs="宋体"/>
                <w:color w:val="000000"/>
                <w:kern w:val="0"/>
                <w:sz w:val="24"/>
                <w:szCs w:val="24"/>
              </w:rPr>
              <w:t>项目宣传覆盖面广，吸引全国项目参赛。</w:t>
            </w:r>
            <w:r>
              <w:rPr>
                <w:rFonts w:cs="宋体"/>
                <w:color w:val="000000"/>
                <w:kern w:val="0"/>
                <w:sz w:val="24"/>
                <w:szCs w:val="24"/>
              </w:rPr>
              <w:t>2023-2025</w:t>
            </w:r>
            <w:r>
              <w:rPr>
                <w:rFonts w:hint="eastAsia" w:cs="宋体"/>
                <w:color w:val="000000"/>
                <w:kern w:val="0"/>
                <w:sz w:val="24"/>
                <w:szCs w:val="24"/>
              </w:rPr>
              <w:t>年，项目宣传区域覆盖深圳、武汉、西安、成都、北京、上海、广州，长沙、东莞松山湖的区域，辐射范围广，吸引了东莞、深圳、武汉等地的企业参赛；但整体上来看，近</w:t>
            </w:r>
            <w:r>
              <w:rPr>
                <w:rFonts w:cs="宋体"/>
                <w:color w:val="000000"/>
                <w:kern w:val="0"/>
                <w:sz w:val="24"/>
                <w:szCs w:val="24"/>
              </w:rPr>
              <w:t>3</w:t>
            </w:r>
            <w:r>
              <w:rPr>
                <w:rFonts w:hint="eastAsia" w:cs="宋体"/>
                <w:color w:val="000000"/>
                <w:kern w:val="0"/>
                <w:sz w:val="24"/>
                <w:szCs w:val="24"/>
              </w:rPr>
              <w:t>年的宣传方向性不清晰，虽然宣传投向与当届举办主题有一定的关联，但是也反映出，当前大赛的举办思路上，尤其是对莞外的创新区域宣传上，尚未构建出稳定的创新项目引入渠道，并构建品牌影响力。</w:t>
            </w:r>
            <w:r>
              <w:rPr>
                <w:rFonts w:cs="宋体"/>
                <w:color w:val="000000"/>
                <w:kern w:val="0"/>
                <w:sz w:val="24"/>
                <w:szCs w:val="24"/>
              </w:rPr>
              <w:br w:type="textWrapping"/>
            </w:r>
            <w:r>
              <w:rPr>
                <w:rFonts w:cs="宋体"/>
                <w:color w:val="000000"/>
                <w:kern w:val="0"/>
                <w:sz w:val="24"/>
                <w:szCs w:val="24"/>
              </w:rPr>
              <w:t>2.</w:t>
            </w:r>
            <w:r>
              <w:rPr>
                <w:rFonts w:hint="eastAsia" w:cs="宋体"/>
                <w:color w:val="000000"/>
                <w:kern w:val="0"/>
                <w:sz w:val="24"/>
                <w:szCs w:val="24"/>
              </w:rPr>
              <w:t>创赛自</w:t>
            </w:r>
            <w:r>
              <w:rPr>
                <w:rFonts w:cs="宋体"/>
                <w:color w:val="000000"/>
                <w:kern w:val="0"/>
                <w:sz w:val="24"/>
                <w:szCs w:val="24"/>
              </w:rPr>
              <w:t>2015</w:t>
            </w:r>
            <w:r>
              <w:rPr>
                <w:rFonts w:hint="eastAsia" w:cs="宋体"/>
                <w:color w:val="000000"/>
                <w:kern w:val="0"/>
                <w:sz w:val="24"/>
                <w:szCs w:val="24"/>
              </w:rPr>
              <w:t>年首次举办以来，累计培育获奖项目</w:t>
            </w:r>
            <w:r>
              <w:rPr>
                <w:rFonts w:cs="宋体"/>
                <w:color w:val="000000"/>
                <w:kern w:val="0"/>
                <w:sz w:val="24"/>
                <w:szCs w:val="24"/>
              </w:rPr>
              <w:t>330</w:t>
            </w:r>
            <w:r>
              <w:rPr>
                <w:rFonts w:hint="eastAsia" w:cs="宋体"/>
                <w:color w:val="000000"/>
                <w:kern w:val="0"/>
                <w:sz w:val="24"/>
                <w:szCs w:val="24"/>
              </w:rPr>
              <w:t>个、落地企业</w:t>
            </w:r>
            <w:r>
              <w:rPr>
                <w:rFonts w:cs="宋体"/>
                <w:color w:val="000000"/>
                <w:kern w:val="0"/>
                <w:sz w:val="24"/>
                <w:szCs w:val="24"/>
              </w:rPr>
              <w:t>238</w:t>
            </w:r>
            <w:r>
              <w:rPr>
                <w:rFonts w:hint="eastAsia" w:cs="宋体"/>
                <w:color w:val="000000"/>
                <w:kern w:val="0"/>
                <w:sz w:val="24"/>
                <w:szCs w:val="24"/>
              </w:rPr>
              <w:t>家，提升了松山湖创新创业氛围。引进企业累计总营收约181.88亿元、总税收约</w:t>
            </w:r>
            <w:r>
              <w:rPr>
                <w:rFonts w:cs="宋体"/>
                <w:color w:val="000000"/>
                <w:kern w:val="0"/>
                <w:sz w:val="24"/>
                <w:szCs w:val="24"/>
              </w:rPr>
              <w:t>5.</w:t>
            </w:r>
            <w:r>
              <w:rPr>
                <w:rFonts w:hint="eastAsia" w:cs="宋体"/>
                <w:color w:val="000000"/>
                <w:kern w:val="0"/>
                <w:sz w:val="24"/>
                <w:szCs w:val="24"/>
              </w:rPr>
              <w:t>64亿元，重点布局机器人与智能装备制造、生物医药与健康、新材料与新能源、新一代信息技术等战略新兴产业领域，为松山湖产业转型升级、新质生产力培育提供了重要支撑。综上，此项得</w:t>
            </w:r>
            <w:r>
              <w:rPr>
                <w:rFonts w:cs="宋体"/>
                <w:color w:val="000000"/>
                <w:kern w:val="0"/>
                <w:sz w:val="24"/>
                <w:szCs w:val="24"/>
              </w:rPr>
              <w:t>2</w:t>
            </w:r>
            <w:r>
              <w:rPr>
                <w:rFonts w:hint="eastAsia" w:cs="宋体"/>
                <w:color w:val="000000"/>
                <w:kern w:val="0"/>
                <w:sz w:val="24"/>
                <w:szCs w:val="24"/>
              </w:rPr>
              <w:t>分。</w:t>
            </w:r>
          </w:p>
        </w:tc>
      </w:tr>
      <w:tr>
        <w:tblPrEx>
          <w:tblCellMar>
            <w:top w:w="0" w:type="dxa"/>
            <w:left w:w="108" w:type="dxa"/>
            <w:bottom w:w="0" w:type="dxa"/>
            <w:right w:w="108" w:type="dxa"/>
          </w:tblCellMar>
        </w:tblPrEx>
        <w:trPr>
          <w:trHeight w:val="864"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30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满意度</w:t>
            </w:r>
          </w:p>
        </w:tc>
        <w:tc>
          <w:tcPr>
            <w:tcW w:w="173"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26</w:t>
            </w:r>
          </w:p>
        </w:tc>
        <w:tc>
          <w:tcPr>
            <w:tcW w:w="28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落地企业</w:t>
            </w:r>
            <w:r>
              <w:rPr>
                <w:rFonts w:cs="宋体"/>
                <w:color w:val="000000"/>
                <w:kern w:val="0"/>
                <w:sz w:val="24"/>
                <w:szCs w:val="24"/>
              </w:rPr>
              <w:t>/</w:t>
            </w:r>
            <w:r>
              <w:rPr>
                <w:rFonts w:hint="eastAsia" w:cs="宋体"/>
                <w:color w:val="000000"/>
                <w:kern w:val="0"/>
                <w:sz w:val="24"/>
                <w:szCs w:val="24"/>
              </w:rPr>
              <w:t>团队满意度</w:t>
            </w:r>
          </w:p>
        </w:tc>
        <w:tc>
          <w:tcPr>
            <w:tcW w:w="6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反映引进企业、团队对松山湖园区孵化培育服务的满意度。</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5</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根据落地企业满意度调查问卷评价。得分</w:t>
            </w:r>
            <w:r>
              <w:rPr>
                <w:rFonts w:cs="宋体"/>
                <w:color w:val="000000"/>
                <w:kern w:val="0"/>
                <w:sz w:val="24"/>
                <w:szCs w:val="24"/>
              </w:rPr>
              <w:t>=</w:t>
            </w:r>
            <w:r>
              <w:rPr>
                <w:rFonts w:hint="eastAsia" w:cs="宋体"/>
                <w:color w:val="000000"/>
                <w:kern w:val="0"/>
                <w:sz w:val="24"/>
                <w:szCs w:val="24"/>
              </w:rPr>
              <w:t>落户企业满意度得分率</w:t>
            </w:r>
            <w:r>
              <w:rPr>
                <w:rFonts w:cs="宋体"/>
                <w:color w:val="000000"/>
                <w:kern w:val="0"/>
                <w:sz w:val="24"/>
                <w:szCs w:val="24"/>
              </w:rPr>
              <w:t>*</w:t>
            </w:r>
            <w:r>
              <w:rPr>
                <w:rFonts w:hint="eastAsia" w:cs="宋体"/>
                <w:color w:val="000000"/>
                <w:kern w:val="0"/>
                <w:sz w:val="24"/>
                <w:szCs w:val="24"/>
              </w:rPr>
              <w:t>指标分值。</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4.78</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本次共收集50份有效问卷，问卷满意度得分率为</w:t>
            </w:r>
            <w:r>
              <w:rPr>
                <w:rFonts w:cs="宋体"/>
                <w:color w:val="000000"/>
                <w:kern w:val="0"/>
                <w:sz w:val="24"/>
                <w:szCs w:val="24"/>
              </w:rPr>
              <w:t>95.55%</w:t>
            </w:r>
            <w:r>
              <w:rPr>
                <w:rFonts w:hint="eastAsia" w:cs="宋体"/>
                <w:color w:val="000000"/>
                <w:kern w:val="0"/>
                <w:sz w:val="24"/>
                <w:szCs w:val="24"/>
              </w:rPr>
              <w:t>，故此项得分为</w:t>
            </w:r>
            <w:r>
              <w:rPr>
                <w:rFonts w:cs="宋体"/>
                <w:color w:val="000000"/>
                <w:kern w:val="0"/>
                <w:sz w:val="24"/>
                <w:szCs w:val="24"/>
              </w:rPr>
              <w:t>4.78</w:t>
            </w:r>
            <w:r>
              <w:rPr>
                <w:rFonts w:hint="eastAsia" w:cs="宋体"/>
                <w:color w:val="000000"/>
                <w:kern w:val="0"/>
                <w:sz w:val="24"/>
                <w:szCs w:val="24"/>
              </w:rPr>
              <w:t>分</w:t>
            </w:r>
            <w:r>
              <w:rPr>
                <w:rFonts w:cs="宋体"/>
                <w:color w:val="000000"/>
                <w:kern w:val="0"/>
                <w:sz w:val="24"/>
                <w:szCs w:val="24"/>
              </w:rPr>
              <w:t>(5*95.</w:t>
            </w:r>
            <w:r>
              <w:rPr>
                <w:rFonts w:hint="eastAsia" w:cs="宋体"/>
                <w:color w:val="000000"/>
                <w:kern w:val="0"/>
                <w:sz w:val="24"/>
                <w:szCs w:val="24"/>
              </w:rPr>
              <w:t>55</w:t>
            </w:r>
            <w:r>
              <w:rPr>
                <w:rFonts w:cs="宋体"/>
                <w:color w:val="000000"/>
                <w:kern w:val="0"/>
                <w:sz w:val="24"/>
                <w:szCs w:val="24"/>
              </w:rPr>
              <w:t>%)</w:t>
            </w:r>
            <w:r>
              <w:rPr>
                <w:rFonts w:hint="eastAsia" w:cs="宋体"/>
                <w:color w:val="000000"/>
                <w:kern w:val="0"/>
                <w:sz w:val="24"/>
                <w:szCs w:val="24"/>
              </w:rPr>
              <w:t>。此外，受访企业还提出了统一服务窗口、定期组织行业性政策宣讲和交流活动、加强跨部门协同、适度降低水电气成本等建议。</w:t>
            </w:r>
          </w:p>
        </w:tc>
      </w:tr>
      <w:tr>
        <w:tblPrEx>
          <w:tblCellMar>
            <w:top w:w="0" w:type="dxa"/>
            <w:left w:w="108" w:type="dxa"/>
            <w:bottom w:w="0" w:type="dxa"/>
            <w:right w:w="108" w:type="dxa"/>
          </w:tblCellMar>
        </w:tblPrEx>
        <w:trPr>
          <w:trHeight w:val="288" w:hRule="atLeast"/>
        </w:trPr>
        <w:tc>
          <w:tcPr>
            <w:tcW w:w="290"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auto"/>
              <w:rPr>
                <w:rFonts w:cs="宋体"/>
                <w:color w:val="000000"/>
                <w:kern w:val="0"/>
                <w:sz w:val="24"/>
                <w:szCs w:val="24"/>
              </w:rPr>
            </w:pPr>
          </w:p>
        </w:tc>
        <w:tc>
          <w:tcPr>
            <w:tcW w:w="26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合计</w:t>
            </w:r>
          </w:p>
        </w:tc>
        <w:tc>
          <w:tcPr>
            <w:tcW w:w="1391" w:type="pct"/>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w:t>
            </w:r>
          </w:p>
        </w:tc>
        <w:tc>
          <w:tcPr>
            <w:tcW w:w="23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cs="宋体"/>
                <w:color w:val="000000"/>
                <w:kern w:val="0"/>
                <w:sz w:val="24"/>
                <w:szCs w:val="24"/>
              </w:rPr>
              <w:t>100</w:t>
            </w:r>
          </w:p>
        </w:tc>
        <w:tc>
          <w:tcPr>
            <w:tcW w:w="1050"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w:t>
            </w:r>
          </w:p>
        </w:tc>
        <w:tc>
          <w:tcPr>
            <w:tcW w:w="274"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right"/>
              <w:textAlignment w:val="auto"/>
              <w:rPr>
                <w:rFonts w:cs="宋体"/>
                <w:color w:val="000000"/>
                <w:kern w:val="0"/>
                <w:sz w:val="24"/>
                <w:szCs w:val="24"/>
              </w:rPr>
            </w:pPr>
            <w:r>
              <w:rPr>
                <w:rFonts w:cs="宋体"/>
                <w:color w:val="000000"/>
                <w:kern w:val="0"/>
                <w:sz w:val="24"/>
                <w:szCs w:val="24"/>
              </w:rPr>
              <w:t>81.74</w:t>
            </w:r>
          </w:p>
        </w:tc>
        <w:tc>
          <w:tcPr>
            <w:tcW w:w="14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cs="宋体"/>
                <w:color w:val="000000"/>
                <w:kern w:val="0"/>
                <w:sz w:val="24"/>
                <w:szCs w:val="24"/>
              </w:rPr>
            </w:pPr>
            <w:r>
              <w:rPr>
                <w:rFonts w:hint="eastAsia" w:cs="宋体"/>
                <w:color w:val="000000"/>
                <w:kern w:val="0"/>
                <w:sz w:val="24"/>
                <w:szCs w:val="24"/>
              </w:rPr>
              <w:t>——</w:t>
            </w:r>
          </w:p>
        </w:tc>
      </w:tr>
    </w:tbl>
    <w:p>
      <w:pPr>
        <w:keepNext w:val="0"/>
        <w:keepLines w:val="0"/>
        <w:pageBreakBefore w:val="0"/>
        <w:kinsoku/>
        <w:wordWrap/>
        <w:overflowPunct/>
        <w:topLinePunct w:val="0"/>
        <w:autoSpaceDE/>
        <w:autoSpaceDN/>
        <w:bidi w:val="0"/>
        <w:adjustRightInd/>
        <w:snapToGrid/>
        <w:spacing w:line="280" w:lineRule="exact"/>
        <w:textAlignment w:val="auto"/>
      </w:pPr>
    </w:p>
    <w:sectPr>
      <w:footerReference r:id="rId15" w:type="default"/>
      <w:pgSz w:w="16838" w:h="11906" w:orient="landscape"/>
      <w:pgMar w:top="1800" w:right="1440" w:bottom="1800" w:left="1440" w:header="851" w:footer="992" w:gutter="0"/>
      <w:pgNumType w:fmt="decimal"/>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GB2312">
    <w:altName w:val="宋体"/>
    <w:panose1 w:val="00000000000000000000"/>
    <w:charset w:val="86"/>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59790" cy="254635"/>
              <wp:effectExtent l="0" t="0" r="0" b="2540"/>
              <wp:wrapNone/>
              <wp:docPr id="815128624" name="文本框 6"/>
              <wp:cNvGraphicFramePr/>
              <a:graphic xmlns:a="http://schemas.openxmlformats.org/drawingml/2006/main">
                <a:graphicData uri="http://schemas.microsoft.com/office/word/2010/wordprocessingShape">
                  <wps:wsp>
                    <wps:cNvSpPr txBox="1">
                      <a:spLocks noChangeArrowheads="1"/>
                    </wps:cNvSpPr>
                    <wps:spPr bwMode="auto">
                      <a:xfrm>
                        <a:off x="0" y="0"/>
                        <a:ext cx="859790" cy="254635"/>
                      </a:xfrm>
                      <a:prstGeom prst="rect">
                        <a:avLst/>
                      </a:prstGeom>
                      <a:noFill/>
                      <a:ln>
                        <a:noFill/>
                      </a:ln>
                    </wps:spPr>
                    <wps:txbx>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wps:txbx>
                    <wps:bodyPr rot="0" vert="horz" wrap="square" lIns="0" tIns="0" rIns="0" bIns="0" anchor="t" anchorCtr="0" upright="1">
                      <a:noAutofit/>
                    </wps:bodyPr>
                  </wps:wsp>
                </a:graphicData>
              </a:graphic>
            </wp:anchor>
          </w:drawing>
        </mc:Choice>
        <mc:Fallback>
          <w:pict>
            <v:shape id="文本框 6" o:spid="_x0000_s1026" o:spt="202" type="#_x0000_t202" style="position:absolute;left:0pt;margin-top:0pt;height:20.05pt;width:67.7pt;mso-position-horizontal:center;mso-position-horizontal-relative:margin;z-index:251660288;mso-width-relative:page;mso-height-relative:page;" filled="f" stroked="f" coordsize="21600,21600" o:gfxdata="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oVGUNQAAAAEAQAADwAAAAAAAAAB&#10;ACAAAAAiAAAAZHJzL2Rvd25yZXYueG1sUEsBAhQAFAAAAAgAh07iQBDB1eAUAgAADAQAAA4AAAAA&#10;AAAAAQAgAAAAIwEAAGRycy9lMm9Eb2MueG1sUEsFBgAAAAAGAAYAWQEAAKkFAAAAAA==&#10;">
              <v:fill on="f" focussize="0,0"/>
              <v:stroke on="f"/>
              <v:imagedata o:title=""/>
              <o:lock v:ext="edit" aspectratio="f"/>
              <v:textbox inset="0mm,0mm,0mm,0mm">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859790" cy="254635"/>
              <wp:effectExtent l="0" t="0" r="0" b="0"/>
              <wp:wrapNone/>
              <wp:docPr id="2" name="文本框 6"/>
              <wp:cNvGraphicFramePr/>
              <a:graphic xmlns:a="http://schemas.openxmlformats.org/drawingml/2006/main">
                <a:graphicData uri="http://schemas.microsoft.com/office/word/2010/wordprocessingShape">
                  <wps:wsp>
                    <wps:cNvSpPr txBox="1">
                      <a:spLocks noChangeArrowheads="1"/>
                    </wps:cNvSpPr>
                    <wps:spPr bwMode="auto">
                      <a:xfrm>
                        <a:off x="0" y="0"/>
                        <a:ext cx="859790" cy="254635"/>
                      </a:xfrm>
                      <a:prstGeom prst="rect">
                        <a:avLst/>
                      </a:prstGeom>
                      <a:noFill/>
                      <a:ln>
                        <a:noFill/>
                      </a:ln>
                    </wps:spPr>
                    <wps:txbx>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wps:txbx>
                    <wps:bodyPr rot="0" vert="horz" wrap="square" lIns="0" tIns="0" rIns="0" bIns="0" anchor="t" anchorCtr="0" upright="1">
                      <a:noAutofit/>
                    </wps:bodyPr>
                  </wps:wsp>
                </a:graphicData>
              </a:graphic>
            </wp:anchor>
          </w:drawing>
        </mc:Choice>
        <mc:Fallback>
          <w:pict>
            <v:shape id="文本框 6" o:spid="_x0000_s1026" o:spt="202" type="#_x0000_t202" style="position:absolute;left:0pt;margin-top:0pt;height:20.05pt;width:67.7pt;mso-position-horizontal:center;mso-position-horizontal-relative:margin;z-index:251661312;mso-width-relative:page;mso-height-relative:page;" filled="f" stroked="f" coordsize="21600,21600" o:gfxdata="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hUZQ1AAAAAQBAAAPAAAAAAAAAAEAIAAAACIA&#10;AABkcnMvZG93bnJldi54bWxQSwECFAAUAAAACACHTuJAyBemZg0CAAAEBAAADgAAAAAAAAABACAA&#10;AAAjAQAAZHJzL2Uyb0RvYy54bWxQSwUGAAAAAAYABgBZAQAAogUAAAAA&#10;">
              <v:fill on="f" focussize="0,0"/>
              <v:stroke on="f"/>
              <v:imagedata o:title=""/>
              <o:lock v:ext="edit" aspectratio="f"/>
              <v:textbox inset="0mm,0mm,0mm,0mm">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859790" cy="254635"/>
              <wp:effectExtent l="0" t="0" r="0" b="0"/>
              <wp:wrapNone/>
              <wp:docPr id="3" name="文本框 6"/>
              <wp:cNvGraphicFramePr/>
              <a:graphic xmlns:a="http://schemas.openxmlformats.org/drawingml/2006/main">
                <a:graphicData uri="http://schemas.microsoft.com/office/word/2010/wordprocessingShape">
                  <wps:wsp>
                    <wps:cNvSpPr txBox="1">
                      <a:spLocks noChangeArrowheads="1"/>
                    </wps:cNvSpPr>
                    <wps:spPr bwMode="auto">
                      <a:xfrm>
                        <a:off x="0" y="0"/>
                        <a:ext cx="859790" cy="254635"/>
                      </a:xfrm>
                      <a:prstGeom prst="rect">
                        <a:avLst/>
                      </a:prstGeom>
                      <a:noFill/>
                      <a:ln>
                        <a:noFill/>
                      </a:ln>
                    </wps:spPr>
                    <wps:txbx>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wps:txbx>
                    <wps:bodyPr rot="0" vert="horz" wrap="square" lIns="0" tIns="0" rIns="0" bIns="0" anchor="t" anchorCtr="0" upright="1">
                      <a:noAutofit/>
                    </wps:bodyPr>
                  </wps:wsp>
                </a:graphicData>
              </a:graphic>
            </wp:anchor>
          </w:drawing>
        </mc:Choice>
        <mc:Fallback>
          <w:pict>
            <v:shape id="文本框 6" o:spid="_x0000_s1026" o:spt="202" type="#_x0000_t202" style="position:absolute;left:0pt;margin-top:0pt;height:20.05pt;width:67.7pt;mso-position-horizontal:center;mso-position-horizontal-relative:margin;z-index:251662336;mso-width-relative:page;mso-height-relative:page;" filled="f" stroked="f" coordsize="21600,21600" o:gfxdata="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oVGUNQAAAAEAQAADwAAAAAAAAABACAAAAAi&#10;AAAAZHJzL2Rvd25yZXYueG1sUEsBAhQAFAAAAAgAh07iQM/IraQOAgAABAQAAA4AAAAAAAAAAQAg&#10;AAAAIwEAAGRycy9lMm9Eb2MueG1sUEsFBgAAAAAGAAYAWQEAAKMFAAAAAA==&#10;">
              <v:fill on="f" focussize="0,0"/>
              <v:stroke on="f"/>
              <v:imagedata o:title=""/>
              <o:lock v:ext="edit" aspectratio="f"/>
              <v:textbox inset="0mm,0mm,0mm,0mm">
                <w:txbxContent>
                  <w:p>
                    <w:pPr>
                      <w:pStyle w:val="17"/>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8535" cy="204470"/>
              <wp:effectExtent l="0" t="0" r="0" b="0"/>
              <wp:wrapNone/>
              <wp:docPr id="116199970" name="文本框 1"/>
              <wp:cNvGraphicFramePr/>
              <a:graphic xmlns:a="http://schemas.openxmlformats.org/drawingml/2006/main">
                <a:graphicData uri="http://schemas.microsoft.com/office/word/2010/wordprocessingShape">
                  <wps:wsp>
                    <wps:cNvSpPr txBox="1"/>
                    <wps:spPr>
                      <a:xfrm>
                        <a:off x="0" y="0"/>
                        <a:ext cx="978535" cy="204470"/>
                      </a:xfrm>
                      <a:prstGeom prst="rect">
                        <a:avLst/>
                      </a:prstGeom>
                      <a:noFill/>
                      <a:ln w="6350">
                        <a:noFill/>
                      </a:ln>
                      <a:effectLst/>
                    </wps:spPr>
                    <wps:txbx>
                      <w:txbxContent>
                        <w:p>
                          <w:pPr>
                            <w:pStyle w:val="17"/>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- 12 -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6.1pt;width:77.05pt;mso-position-horizontal:center;mso-position-horizontal-relative:margin;mso-wrap-style:none;z-index:251659264;mso-width-relative:page;mso-height-relative:page;" filled="f" stroked="f" coordsize="21600,21600" o:gfxdata="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w6nsNIAAAAEAQAADwAAAAAAAAABACAAAAAiAAAAZHJzL2Rvd25y&#10;ZXYueG1sUEsBAhQAFAAAAAgAh07iQBjDXG49AgAAaQQAAA4AAAAAAAAAAQAgAAAAIQEAAGRycy9l&#10;Mm9Eb2MueG1sUEsFBgAAAAAGAAYAWQEAANAFAAAAAA==&#10;">
              <v:fill on="f" focussize="0,0"/>
              <v:stroke on="f" weight="0.5pt"/>
              <v:imagedata o:title=""/>
              <o:lock v:ext="edit" aspectratio="f"/>
              <v:textbox inset="0mm,0mm,0mm,0mm" style="mso-fit-shape-to-text:t;">
                <w:txbxContent>
                  <w:p>
                    <w:pPr>
                      <w:pStyle w:val="17"/>
                      <w:ind w:firstLine="56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- 12 -</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1ACEB4"/>
    <w:multiLevelType w:val="multilevel"/>
    <w:tmpl w:val="C81ACEB4"/>
    <w:lvl w:ilvl="0" w:tentative="0">
      <w:start w:val="1"/>
      <w:numFmt w:val="decimal"/>
      <w:suff w:val="nothing"/>
      <w:lvlText w:val="1-%1"/>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1">
    <w:nsid w:val="6144EBB4"/>
    <w:multiLevelType w:val="singleLevel"/>
    <w:tmpl w:val="6144EBB4"/>
    <w:lvl w:ilvl="0" w:tentative="0">
      <w:start w:val="1"/>
      <w:numFmt w:val="chineseCounting"/>
      <w:suff w:val="nothing"/>
      <w:lvlText w:val="%1、"/>
      <w:lvlJc w:val="left"/>
      <w:rPr>
        <w:rFonts w:hint="eastAsia"/>
      </w:rPr>
    </w:lvl>
  </w:abstractNum>
  <w:abstractNum w:abstractNumId="2">
    <w:nsid w:val="61BB5FD4"/>
    <w:multiLevelType w:val="multilevel"/>
    <w:tmpl w:val="61BB5FD4"/>
    <w:lvl w:ilvl="0" w:tentative="0">
      <w:start w:val="1"/>
      <w:numFmt w:val="decimal"/>
      <w:pStyle w:val="22"/>
      <w:suff w:val="nothing"/>
      <w:lvlText w:val="1-%1"/>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752B03"/>
    <w:rsid w:val="00000447"/>
    <w:rsid w:val="000005CE"/>
    <w:rsid w:val="00000F4B"/>
    <w:rsid w:val="00002141"/>
    <w:rsid w:val="000026BA"/>
    <w:rsid w:val="00002C11"/>
    <w:rsid w:val="00002E7D"/>
    <w:rsid w:val="00003AFB"/>
    <w:rsid w:val="00003C91"/>
    <w:rsid w:val="00004B82"/>
    <w:rsid w:val="00005CE8"/>
    <w:rsid w:val="00006946"/>
    <w:rsid w:val="00007D06"/>
    <w:rsid w:val="00010D58"/>
    <w:rsid w:val="000113CB"/>
    <w:rsid w:val="00011673"/>
    <w:rsid w:val="0001190C"/>
    <w:rsid w:val="0001197B"/>
    <w:rsid w:val="00012026"/>
    <w:rsid w:val="000122E3"/>
    <w:rsid w:val="000126FA"/>
    <w:rsid w:val="0001375E"/>
    <w:rsid w:val="00013FB4"/>
    <w:rsid w:val="0001557A"/>
    <w:rsid w:val="0001596D"/>
    <w:rsid w:val="00016206"/>
    <w:rsid w:val="00016427"/>
    <w:rsid w:val="0002041D"/>
    <w:rsid w:val="00022590"/>
    <w:rsid w:val="00022636"/>
    <w:rsid w:val="0002270A"/>
    <w:rsid w:val="0002276B"/>
    <w:rsid w:val="00023500"/>
    <w:rsid w:val="00023C67"/>
    <w:rsid w:val="00024B1D"/>
    <w:rsid w:val="000255CA"/>
    <w:rsid w:val="00025C4E"/>
    <w:rsid w:val="00026519"/>
    <w:rsid w:val="0002737E"/>
    <w:rsid w:val="00027438"/>
    <w:rsid w:val="00027899"/>
    <w:rsid w:val="000305E4"/>
    <w:rsid w:val="0003078B"/>
    <w:rsid w:val="00030F8E"/>
    <w:rsid w:val="0003148C"/>
    <w:rsid w:val="00031D8F"/>
    <w:rsid w:val="00032869"/>
    <w:rsid w:val="0003295B"/>
    <w:rsid w:val="00032DC9"/>
    <w:rsid w:val="00033BC8"/>
    <w:rsid w:val="00033BD0"/>
    <w:rsid w:val="0003406F"/>
    <w:rsid w:val="000341CF"/>
    <w:rsid w:val="00035C29"/>
    <w:rsid w:val="000360BC"/>
    <w:rsid w:val="00037530"/>
    <w:rsid w:val="00037B42"/>
    <w:rsid w:val="0004005C"/>
    <w:rsid w:val="000402D8"/>
    <w:rsid w:val="000404CC"/>
    <w:rsid w:val="000406EE"/>
    <w:rsid w:val="00040C21"/>
    <w:rsid w:val="00040D6F"/>
    <w:rsid w:val="00041C32"/>
    <w:rsid w:val="00042054"/>
    <w:rsid w:val="00042721"/>
    <w:rsid w:val="00042B96"/>
    <w:rsid w:val="00043548"/>
    <w:rsid w:val="0004388D"/>
    <w:rsid w:val="00043BFF"/>
    <w:rsid w:val="00044F53"/>
    <w:rsid w:val="00045C31"/>
    <w:rsid w:val="000460E8"/>
    <w:rsid w:val="0004635F"/>
    <w:rsid w:val="00046FC3"/>
    <w:rsid w:val="000475A2"/>
    <w:rsid w:val="000479C2"/>
    <w:rsid w:val="00050578"/>
    <w:rsid w:val="000510A1"/>
    <w:rsid w:val="000512DD"/>
    <w:rsid w:val="00051318"/>
    <w:rsid w:val="00051422"/>
    <w:rsid w:val="000517DA"/>
    <w:rsid w:val="00051D0E"/>
    <w:rsid w:val="00051E6B"/>
    <w:rsid w:val="00053058"/>
    <w:rsid w:val="0005328A"/>
    <w:rsid w:val="00053C67"/>
    <w:rsid w:val="00053D99"/>
    <w:rsid w:val="000540B8"/>
    <w:rsid w:val="00054D43"/>
    <w:rsid w:val="0005541B"/>
    <w:rsid w:val="00055B12"/>
    <w:rsid w:val="00055E99"/>
    <w:rsid w:val="000560D6"/>
    <w:rsid w:val="00056323"/>
    <w:rsid w:val="00056730"/>
    <w:rsid w:val="0005698D"/>
    <w:rsid w:val="00057308"/>
    <w:rsid w:val="00057454"/>
    <w:rsid w:val="00057AB2"/>
    <w:rsid w:val="000601E7"/>
    <w:rsid w:val="000605F7"/>
    <w:rsid w:val="0006095B"/>
    <w:rsid w:val="000610AC"/>
    <w:rsid w:val="000611E5"/>
    <w:rsid w:val="00061635"/>
    <w:rsid w:val="00063E21"/>
    <w:rsid w:val="00063FE8"/>
    <w:rsid w:val="0006587E"/>
    <w:rsid w:val="000667D8"/>
    <w:rsid w:val="00066F14"/>
    <w:rsid w:val="00066F79"/>
    <w:rsid w:val="000674DC"/>
    <w:rsid w:val="00067641"/>
    <w:rsid w:val="00067AA0"/>
    <w:rsid w:val="00070186"/>
    <w:rsid w:val="00070EBD"/>
    <w:rsid w:val="0007101C"/>
    <w:rsid w:val="00071557"/>
    <w:rsid w:val="00071D4B"/>
    <w:rsid w:val="000728A1"/>
    <w:rsid w:val="00072CA2"/>
    <w:rsid w:val="00073A62"/>
    <w:rsid w:val="00073C76"/>
    <w:rsid w:val="00073E98"/>
    <w:rsid w:val="0007437B"/>
    <w:rsid w:val="00074685"/>
    <w:rsid w:val="00074694"/>
    <w:rsid w:val="0007590D"/>
    <w:rsid w:val="00075D0C"/>
    <w:rsid w:val="000764D6"/>
    <w:rsid w:val="000767BE"/>
    <w:rsid w:val="0007719C"/>
    <w:rsid w:val="0007777B"/>
    <w:rsid w:val="00077D25"/>
    <w:rsid w:val="00080008"/>
    <w:rsid w:val="00080121"/>
    <w:rsid w:val="000826C2"/>
    <w:rsid w:val="000826EF"/>
    <w:rsid w:val="00082D90"/>
    <w:rsid w:val="00082FF9"/>
    <w:rsid w:val="00083746"/>
    <w:rsid w:val="00083AC5"/>
    <w:rsid w:val="00083E35"/>
    <w:rsid w:val="00084559"/>
    <w:rsid w:val="00084AEA"/>
    <w:rsid w:val="00084F43"/>
    <w:rsid w:val="0008537C"/>
    <w:rsid w:val="000856E0"/>
    <w:rsid w:val="000858C3"/>
    <w:rsid w:val="00085EFD"/>
    <w:rsid w:val="00086208"/>
    <w:rsid w:val="00086C0E"/>
    <w:rsid w:val="00086FCB"/>
    <w:rsid w:val="0008711E"/>
    <w:rsid w:val="000872AC"/>
    <w:rsid w:val="00087A17"/>
    <w:rsid w:val="0009025C"/>
    <w:rsid w:val="00090669"/>
    <w:rsid w:val="0009124D"/>
    <w:rsid w:val="00091748"/>
    <w:rsid w:val="000917E8"/>
    <w:rsid w:val="0009209D"/>
    <w:rsid w:val="00093116"/>
    <w:rsid w:val="00093AB8"/>
    <w:rsid w:val="00093BFE"/>
    <w:rsid w:val="000944EB"/>
    <w:rsid w:val="00094513"/>
    <w:rsid w:val="00094BC0"/>
    <w:rsid w:val="00094BF4"/>
    <w:rsid w:val="00094F5F"/>
    <w:rsid w:val="00095DF0"/>
    <w:rsid w:val="00096254"/>
    <w:rsid w:val="00097AB6"/>
    <w:rsid w:val="000A0643"/>
    <w:rsid w:val="000A1AE8"/>
    <w:rsid w:val="000A1F4A"/>
    <w:rsid w:val="000A2580"/>
    <w:rsid w:val="000A2FC3"/>
    <w:rsid w:val="000A30D0"/>
    <w:rsid w:val="000A4FF8"/>
    <w:rsid w:val="000A5FF7"/>
    <w:rsid w:val="000A62CA"/>
    <w:rsid w:val="000A6FC3"/>
    <w:rsid w:val="000A71DB"/>
    <w:rsid w:val="000A767B"/>
    <w:rsid w:val="000A779C"/>
    <w:rsid w:val="000A77C2"/>
    <w:rsid w:val="000A7AD5"/>
    <w:rsid w:val="000B1155"/>
    <w:rsid w:val="000B1914"/>
    <w:rsid w:val="000B203F"/>
    <w:rsid w:val="000B25A0"/>
    <w:rsid w:val="000B2C68"/>
    <w:rsid w:val="000B35CF"/>
    <w:rsid w:val="000B35F2"/>
    <w:rsid w:val="000B3C64"/>
    <w:rsid w:val="000B3DB1"/>
    <w:rsid w:val="000B4D53"/>
    <w:rsid w:val="000B556C"/>
    <w:rsid w:val="000B5787"/>
    <w:rsid w:val="000B5BD3"/>
    <w:rsid w:val="000B5F6B"/>
    <w:rsid w:val="000B64CB"/>
    <w:rsid w:val="000B71D2"/>
    <w:rsid w:val="000B739D"/>
    <w:rsid w:val="000C079B"/>
    <w:rsid w:val="000C0DC7"/>
    <w:rsid w:val="000C0FE8"/>
    <w:rsid w:val="000C1392"/>
    <w:rsid w:val="000C27C5"/>
    <w:rsid w:val="000C2C51"/>
    <w:rsid w:val="000C3605"/>
    <w:rsid w:val="000C416E"/>
    <w:rsid w:val="000C49A9"/>
    <w:rsid w:val="000C4F85"/>
    <w:rsid w:val="000C547E"/>
    <w:rsid w:val="000C550F"/>
    <w:rsid w:val="000C5510"/>
    <w:rsid w:val="000C6D33"/>
    <w:rsid w:val="000C6DF9"/>
    <w:rsid w:val="000C729A"/>
    <w:rsid w:val="000C7B4A"/>
    <w:rsid w:val="000D102C"/>
    <w:rsid w:val="000D19F9"/>
    <w:rsid w:val="000D3047"/>
    <w:rsid w:val="000D311D"/>
    <w:rsid w:val="000D313A"/>
    <w:rsid w:val="000D33BF"/>
    <w:rsid w:val="000D4421"/>
    <w:rsid w:val="000D443B"/>
    <w:rsid w:val="000D46D5"/>
    <w:rsid w:val="000D4CB6"/>
    <w:rsid w:val="000D5886"/>
    <w:rsid w:val="000D62CF"/>
    <w:rsid w:val="000D630E"/>
    <w:rsid w:val="000D7BA4"/>
    <w:rsid w:val="000E0FFA"/>
    <w:rsid w:val="000E17D6"/>
    <w:rsid w:val="000E202B"/>
    <w:rsid w:val="000E20FF"/>
    <w:rsid w:val="000E2DE5"/>
    <w:rsid w:val="000E2DF2"/>
    <w:rsid w:val="000E3FDB"/>
    <w:rsid w:val="000E455A"/>
    <w:rsid w:val="000E52EC"/>
    <w:rsid w:val="000E547C"/>
    <w:rsid w:val="000E6650"/>
    <w:rsid w:val="000E7ACE"/>
    <w:rsid w:val="000F00C0"/>
    <w:rsid w:val="000F09C3"/>
    <w:rsid w:val="000F0C89"/>
    <w:rsid w:val="000F0F19"/>
    <w:rsid w:val="000F2B85"/>
    <w:rsid w:val="000F2E18"/>
    <w:rsid w:val="000F3366"/>
    <w:rsid w:val="000F40BD"/>
    <w:rsid w:val="000F411C"/>
    <w:rsid w:val="000F4D25"/>
    <w:rsid w:val="000F4E7D"/>
    <w:rsid w:val="000F5225"/>
    <w:rsid w:val="000F5432"/>
    <w:rsid w:val="000F5AF5"/>
    <w:rsid w:val="000F5B82"/>
    <w:rsid w:val="000F5D2B"/>
    <w:rsid w:val="000F6A67"/>
    <w:rsid w:val="0010056E"/>
    <w:rsid w:val="0010092A"/>
    <w:rsid w:val="001017C6"/>
    <w:rsid w:val="001018B2"/>
    <w:rsid w:val="00101D62"/>
    <w:rsid w:val="00102811"/>
    <w:rsid w:val="001031F0"/>
    <w:rsid w:val="00104D11"/>
    <w:rsid w:val="00104F54"/>
    <w:rsid w:val="001059B5"/>
    <w:rsid w:val="00105F07"/>
    <w:rsid w:val="00106D19"/>
    <w:rsid w:val="00107312"/>
    <w:rsid w:val="00107DA2"/>
    <w:rsid w:val="00110922"/>
    <w:rsid w:val="001116BC"/>
    <w:rsid w:val="001119CA"/>
    <w:rsid w:val="00111ED1"/>
    <w:rsid w:val="00113177"/>
    <w:rsid w:val="0011335C"/>
    <w:rsid w:val="001136F4"/>
    <w:rsid w:val="001138EB"/>
    <w:rsid w:val="0011458E"/>
    <w:rsid w:val="00114D41"/>
    <w:rsid w:val="00114DCB"/>
    <w:rsid w:val="0011550F"/>
    <w:rsid w:val="00115C90"/>
    <w:rsid w:val="00116745"/>
    <w:rsid w:val="0011769A"/>
    <w:rsid w:val="00117753"/>
    <w:rsid w:val="0011775E"/>
    <w:rsid w:val="00117852"/>
    <w:rsid w:val="00117D47"/>
    <w:rsid w:val="00117EA5"/>
    <w:rsid w:val="001203E8"/>
    <w:rsid w:val="00122147"/>
    <w:rsid w:val="00122726"/>
    <w:rsid w:val="00123152"/>
    <w:rsid w:val="00124A62"/>
    <w:rsid w:val="00125B91"/>
    <w:rsid w:val="00125D65"/>
    <w:rsid w:val="00125F50"/>
    <w:rsid w:val="001263BF"/>
    <w:rsid w:val="00126F44"/>
    <w:rsid w:val="00126FD8"/>
    <w:rsid w:val="00127305"/>
    <w:rsid w:val="00127986"/>
    <w:rsid w:val="00127A01"/>
    <w:rsid w:val="001301F0"/>
    <w:rsid w:val="00130546"/>
    <w:rsid w:val="00130AA6"/>
    <w:rsid w:val="0013136D"/>
    <w:rsid w:val="00131422"/>
    <w:rsid w:val="00131AE8"/>
    <w:rsid w:val="00131CA5"/>
    <w:rsid w:val="00133687"/>
    <w:rsid w:val="001358E8"/>
    <w:rsid w:val="00135F37"/>
    <w:rsid w:val="001365A4"/>
    <w:rsid w:val="00136EBF"/>
    <w:rsid w:val="00140722"/>
    <w:rsid w:val="001409EE"/>
    <w:rsid w:val="00140D5F"/>
    <w:rsid w:val="0014148D"/>
    <w:rsid w:val="00142890"/>
    <w:rsid w:val="00142E35"/>
    <w:rsid w:val="00143483"/>
    <w:rsid w:val="00143FA7"/>
    <w:rsid w:val="00144275"/>
    <w:rsid w:val="0014486F"/>
    <w:rsid w:val="00145968"/>
    <w:rsid w:val="00146814"/>
    <w:rsid w:val="00147016"/>
    <w:rsid w:val="00147975"/>
    <w:rsid w:val="00147B2B"/>
    <w:rsid w:val="001502D0"/>
    <w:rsid w:val="00150A38"/>
    <w:rsid w:val="00150F92"/>
    <w:rsid w:val="001512AA"/>
    <w:rsid w:val="001536C7"/>
    <w:rsid w:val="00153934"/>
    <w:rsid w:val="00154F73"/>
    <w:rsid w:val="00155165"/>
    <w:rsid w:val="00155896"/>
    <w:rsid w:val="00155E35"/>
    <w:rsid w:val="00156C27"/>
    <w:rsid w:val="00156F43"/>
    <w:rsid w:val="001570C8"/>
    <w:rsid w:val="00157195"/>
    <w:rsid w:val="001571A0"/>
    <w:rsid w:val="00160245"/>
    <w:rsid w:val="00160CD9"/>
    <w:rsid w:val="001617B5"/>
    <w:rsid w:val="00161931"/>
    <w:rsid w:val="001625DA"/>
    <w:rsid w:val="00162672"/>
    <w:rsid w:val="001636DA"/>
    <w:rsid w:val="00163D38"/>
    <w:rsid w:val="001644CC"/>
    <w:rsid w:val="00164E6B"/>
    <w:rsid w:val="0016593E"/>
    <w:rsid w:val="00166219"/>
    <w:rsid w:val="0016699A"/>
    <w:rsid w:val="0016710B"/>
    <w:rsid w:val="00170428"/>
    <w:rsid w:val="001709B3"/>
    <w:rsid w:val="00170FF1"/>
    <w:rsid w:val="00172158"/>
    <w:rsid w:val="00172BA0"/>
    <w:rsid w:val="001739D1"/>
    <w:rsid w:val="001757F8"/>
    <w:rsid w:val="00177E05"/>
    <w:rsid w:val="00180BBC"/>
    <w:rsid w:val="00180E64"/>
    <w:rsid w:val="00181137"/>
    <w:rsid w:val="0018142E"/>
    <w:rsid w:val="001817ED"/>
    <w:rsid w:val="0018442B"/>
    <w:rsid w:val="00184704"/>
    <w:rsid w:val="00184A59"/>
    <w:rsid w:val="00184F30"/>
    <w:rsid w:val="0018516D"/>
    <w:rsid w:val="00185F12"/>
    <w:rsid w:val="00185FCE"/>
    <w:rsid w:val="001879AE"/>
    <w:rsid w:val="001901AD"/>
    <w:rsid w:val="001914B7"/>
    <w:rsid w:val="00191A1B"/>
    <w:rsid w:val="001924E0"/>
    <w:rsid w:val="00193046"/>
    <w:rsid w:val="001930D8"/>
    <w:rsid w:val="001932DC"/>
    <w:rsid w:val="00193378"/>
    <w:rsid w:val="00193FB5"/>
    <w:rsid w:val="001940EB"/>
    <w:rsid w:val="00194242"/>
    <w:rsid w:val="0019448E"/>
    <w:rsid w:val="0019500D"/>
    <w:rsid w:val="0019505F"/>
    <w:rsid w:val="001957B9"/>
    <w:rsid w:val="00195895"/>
    <w:rsid w:val="00195A7C"/>
    <w:rsid w:val="00196258"/>
    <w:rsid w:val="00196C0E"/>
    <w:rsid w:val="001A092D"/>
    <w:rsid w:val="001A0D1E"/>
    <w:rsid w:val="001A21DD"/>
    <w:rsid w:val="001A22C4"/>
    <w:rsid w:val="001A22EE"/>
    <w:rsid w:val="001A2366"/>
    <w:rsid w:val="001A3E1D"/>
    <w:rsid w:val="001A3EC6"/>
    <w:rsid w:val="001A5288"/>
    <w:rsid w:val="001A6167"/>
    <w:rsid w:val="001A7172"/>
    <w:rsid w:val="001A75E2"/>
    <w:rsid w:val="001A7704"/>
    <w:rsid w:val="001A797C"/>
    <w:rsid w:val="001A7CDE"/>
    <w:rsid w:val="001B08FF"/>
    <w:rsid w:val="001B0ADA"/>
    <w:rsid w:val="001B20AF"/>
    <w:rsid w:val="001B2498"/>
    <w:rsid w:val="001B2570"/>
    <w:rsid w:val="001B2882"/>
    <w:rsid w:val="001B4E73"/>
    <w:rsid w:val="001B5326"/>
    <w:rsid w:val="001B5926"/>
    <w:rsid w:val="001B6A08"/>
    <w:rsid w:val="001C01B8"/>
    <w:rsid w:val="001C0A1A"/>
    <w:rsid w:val="001C14A9"/>
    <w:rsid w:val="001C385C"/>
    <w:rsid w:val="001C3DCD"/>
    <w:rsid w:val="001C3F7D"/>
    <w:rsid w:val="001C5326"/>
    <w:rsid w:val="001C5345"/>
    <w:rsid w:val="001C5AA7"/>
    <w:rsid w:val="001C6270"/>
    <w:rsid w:val="001C6AA0"/>
    <w:rsid w:val="001C71CF"/>
    <w:rsid w:val="001C7215"/>
    <w:rsid w:val="001C7CFE"/>
    <w:rsid w:val="001C7FF5"/>
    <w:rsid w:val="001D04B5"/>
    <w:rsid w:val="001D07F0"/>
    <w:rsid w:val="001D0B1E"/>
    <w:rsid w:val="001D1108"/>
    <w:rsid w:val="001D1D87"/>
    <w:rsid w:val="001D2F76"/>
    <w:rsid w:val="001D3920"/>
    <w:rsid w:val="001D4206"/>
    <w:rsid w:val="001D471C"/>
    <w:rsid w:val="001D5275"/>
    <w:rsid w:val="001D5686"/>
    <w:rsid w:val="001D6435"/>
    <w:rsid w:val="001D64D3"/>
    <w:rsid w:val="001D66AC"/>
    <w:rsid w:val="001D6A1C"/>
    <w:rsid w:val="001D7019"/>
    <w:rsid w:val="001D72FF"/>
    <w:rsid w:val="001D736F"/>
    <w:rsid w:val="001E03F4"/>
    <w:rsid w:val="001E0788"/>
    <w:rsid w:val="001E2161"/>
    <w:rsid w:val="001E281C"/>
    <w:rsid w:val="001E2B41"/>
    <w:rsid w:val="001E2C23"/>
    <w:rsid w:val="001E2C4A"/>
    <w:rsid w:val="001E3624"/>
    <w:rsid w:val="001E3943"/>
    <w:rsid w:val="001E41A1"/>
    <w:rsid w:val="001E4714"/>
    <w:rsid w:val="001E4A59"/>
    <w:rsid w:val="001E57CC"/>
    <w:rsid w:val="001E5BC2"/>
    <w:rsid w:val="001E6FC3"/>
    <w:rsid w:val="001E7840"/>
    <w:rsid w:val="001F0498"/>
    <w:rsid w:val="001F06DF"/>
    <w:rsid w:val="001F10E8"/>
    <w:rsid w:val="001F16C1"/>
    <w:rsid w:val="001F2049"/>
    <w:rsid w:val="001F3A05"/>
    <w:rsid w:val="001F3C17"/>
    <w:rsid w:val="001F3F94"/>
    <w:rsid w:val="001F4067"/>
    <w:rsid w:val="001F529E"/>
    <w:rsid w:val="001F55B2"/>
    <w:rsid w:val="001F69DA"/>
    <w:rsid w:val="001F6D70"/>
    <w:rsid w:val="002003A9"/>
    <w:rsid w:val="00201144"/>
    <w:rsid w:val="00201C67"/>
    <w:rsid w:val="00204149"/>
    <w:rsid w:val="0020414A"/>
    <w:rsid w:val="002043D3"/>
    <w:rsid w:val="002044B9"/>
    <w:rsid w:val="0020498B"/>
    <w:rsid w:val="00204B53"/>
    <w:rsid w:val="00204B7D"/>
    <w:rsid w:val="00204D7B"/>
    <w:rsid w:val="002060E8"/>
    <w:rsid w:val="00206358"/>
    <w:rsid w:val="002063D9"/>
    <w:rsid w:val="002076AF"/>
    <w:rsid w:val="00207FC8"/>
    <w:rsid w:val="00210E2D"/>
    <w:rsid w:val="0021254C"/>
    <w:rsid w:val="002126D0"/>
    <w:rsid w:val="00213751"/>
    <w:rsid w:val="00213964"/>
    <w:rsid w:val="00213F50"/>
    <w:rsid w:val="002140F4"/>
    <w:rsid w:val="0021436D"/>
    <w:rsid w:val="00215079"/>
    <w:rsid w:val="002151BB"/>
    <w:rsid w:val="00215422"/>
    <w:rsid w:val="0021635B"/>
    <w:rsid w:val="00216385"/>
    <w:rsid w:val="00216386"/>
    <w:rsid w:val="002166AF"/>
    <w:rsid w:val="0021679E"/>
    <w:rsid w:val="00217B9A"/>
    <w:rsid w:val="00220471"/>
    <w:rsid w:val="00220E35"/>
    <w:rsid w:val="00220E5A"/>
    <w:rsid w:val="002211BD"/>
    <w:rsid w:val="00221327"/>
    <w:rsid w:val="00221B14"/>
    <w:rsid w:val="00221DF3"/>
    <w:rsid w:val="00223BB7"/>
    <w:rsid w:val="00223BF4"/>
    <w:rsid w:val="00223C78"/>
    <w:rsid w:val="0022400D"/>
    <w:rsid w:val="00226C81"/>
    <w:rsid w:val="00226F74"/>
    <w:rsid w:val="00227896"/>
    <w:rsid w:val="00230948"/>
    <w:rsid w:val="00231C10"/>
    <w:rsid w:val="002321B5"/>
    <w:rsid w:val="00232625"/>
    <w:rsid w:val="00232F18"/>
    <w:rsid w:val="00233342"/>
    <w:rsid w:val="00234199"/>
    <w:rsid w:val="00234AC4"/>
    <w:rsid w:val="00235138"/>
    <w:rsid w:val="00235719"/>
    <w:rsid w:val="002357FC"/>
    <w:rsid w:val="00236042"/>
    <w:rsid w:val="00236401"/>
    <w:rsid w:val="002366EE"/>
    <w:rsid w:val="00236D7B"/>
    <w:rsid w:val="00237FE9"/>
    <w:rsid w:val="002406D3"/>
    <w:rsid w:val="00240BBC"/>
    <w:rsid w:val="00241023"/>
    <w:rsid w:val="002411DB"/>
    <w:rsid w:val="00241530"/>
    <w:rsid w:val="00241ACF"/>
    <w:rsid w:val="00241CB3"/>
    <w:rsid w:val="00242281"/>
    <w:rsid w:val="00242E40"/>
    <w:rsid w:val="00243595"/>
    <w:rsid w:val="002438E4"/>
    <w:rsid w:val="00244264"/>
    <w:rsid w:val="00244AE6"/>
    <w:rsid w:val="00245304"/>
    <w:rsid w:val="00245703"/>
    <w:rsid w:val="002464ED"/>
    <w:rsid w:val="00246659"/>
    <w:rsid w:val="00247064"/>
    <w:rsid w:val="00251075"/>
    <w:rsid w:val="00251A0E"/>
    <w:rsid w:val="00251C43"/>
    <w:rsid w:val="00251F81"/>
    <w:rsid w:val="00252AB1"/>
    <w:rsid w:val="00253405"/>
    <w:rsid w:val="0025348A"/>
    <w:rsid w:val="0025479C"/>
    <w:rsid w:val="0025547E"/>
    <w:rsid w:val="0025620A"/>
    <w:rsid w:val="00256B38"/>
    <w:rsid w:val="00256C3F"/>
    <w:rsid w:val="00256FE0"/>
    <w:rsid w:val="00257440"/>
    <w:rsid w:val="002575F6"/>
    <w:rsid w:val="002601C2"/>
    <w:rsid w:val="00260A15"/>
    <w:rsid w:val="00261E0A"/>
    <w:rsid w:val="00263599"/>
    <w:rsid w:val="002635AE"/>
    <w:rsid w:val="002636B1"/>
    <w:rsid w:val="002639F4"/>
    <w:rsid w:val="0026460D"/>
    <w:rsid w:val="002661B7"/>
    <w:rsid w:val="00266229"/>
    <w:rsid w:val="002664FC"/>
    <w:rsid w:val="0026668C"/>
    <w:rsid w:val="002666F8"/>
    <w:rsid w:val="002667B5"/>
    <w:rsid w:val="00266994"/>
    <w:rsid w:val="0026705E"/>
    <w:rsid w:val="00267176"/>
    <w:rsid w:val="00270020"/>
    <w:rsid w:val="002710E5"/>
    <w:rsid w:val="002715AF"/>
    <w:rsid w:val="00271765"/>
    <w:rsid w:val="002727F2"/>
    <w:rsid w:val="00272BEA"/>
    <w:rsid w:val="002740F7"/>
    <w:rsid w:val="002753FA"/>
    <w:rsid w:val="00275F47"/>
    <w:rsid w:val="002764E8"/>
    <w:rsid w:val="002765E0"/>
    <w:rsid w:val="00276950"/>
    <w:rsid w:val="00280139"/>
    <w:rsid w:val="0028025B"/>
    <w:rsid w:val="00280E14"/>
    <w:rsid w:val="002820AC"/>
    <w:rsid w:val="002820CE"/>
    <w:rsid w:val="00282227"/>
    <w:rsid w:val="00282356"/>
    <w:rsid w:val="002823D8"/>
    <w:rsid w:val="0028248C"/>
    <w:rsid w:val="002829C9"/>
    <w:rsid w:val="00282CA6"/>
    <w:rsid w:val="00282DA3"/>
    <w:rsid w:val="0028381B"/>
    <w:rsid w:val="002838BF"/>
    <w:rsid w:val="00283ED1"/>
    <w:rsid w:val="00284138"/>
    <w:rsid w:val="0028421E"/>
    <w:rsid w:val="00284908"/>
    <w:rsid w:val="00284D7B"/>
    <w:rsid w:val="002853DC"/>
    <w:rsid w:val="002856DA"/>
    <w:rsid w:val="002856F8"/>
    <w:rsid w:val="002859A6"/>
    <w:rsid w:val="00287DF1"/>
    <w:rsid w:val="0029044E"/>
    <w:rsid w:val="00290F65"/>
    <w:rsid w:val="00291499"/>
    <w:rsid w:val="00291BF7"/>
    <w:rsid w:val="00291D89"/>
    <w:rsid w:val="00291E34"/>
    <w:rsid w:val="0029243F"/>
    <w:rsid w:val="00293650"/>
    <w:rsid w:val="00293E01"/>
    <w:rsid w:val="00294443"/>
    <w:rsid w:val="0029584B"/>
    <w:rsid w:val="002958B4"/>
    <w:rsid w:val="002964B4"/>
    <w:rsid w:val="00296705"/>
    <w:rsid w:val="00296DB8"/>
    <w:rsid w:val="00296DEB"/>
    <w:rsid w:val="00297508"/>
    <w:rsid w:val="002A0D4E"/>
    <w:rsid w:val="002A16BF"/>
    <w:rsid w:val="002A1FE6"/>
    <w:rsid w:val="002A2C1F"/>
    <w:rsid w:val="002A3042"/>
    <w:rsid w:val="002A3566"/>
    <w:rsid w:val="002A35E4"/>
    <w:rsid w:val="002A375F"/>
    <w:rsid w:val="002A3B0D"/>
    <w:rsid w:val="002A498A"/>
    <w:rsid w:val="002A4A0B"/>
    <w:rsid w:val="002A669A"/>
    <w:rsid w:val="002A722D"/>
    <w:rsid w:val="002A7F2C"/>
    <w:rsid w:val="002B055F"/>
    <w:rsid w:val="002B08F0"/>
    <w:rsid w:val="002B104F"/>
    <w:rsid w:val="002B122E"/>
    <w:rsid w:val="002B165B"/>
    <w:rsid w:val="002B1E27"/>
    <w:rsid w:val="002B2B6B"/>
    <w:rsid w:val="002B3608"/>
    <w:rsid w:val="002B4447"/>
    <w:rsid w:val="002B47A8"/>
    <w:rsid w:val="002B52BC"/>
    <w:rsid w:val="002B52ED"/>
    <w:rsid w:val="002B66A1"/>
    <w:rsid w:val="002B6982"/>
    <w:rsid w:val="002B6CAA"/>
    <w:rsid w:val="002C062F"/>
    <w:rsid w:val="002C0CB6"/>
    <w:rsid w:val="002C20A7"/>
    <w:rsid w:val="002C21C3"/>
    <w:rsid w:val="002C2BC9"/>
    <w:rsid w:val="002C2F2A"/>
    <w:rsid w:val="002C3206"/>
    <w:rsid w:val="002C34A6"/>
    <w:rsid w:val="002C35DC"/>
    <w:rsid w:val="002C370E"/>
    <w:rsid w:val="002C3BB0"/>
    <w:rsid w:val="002C5632"/>
    <w:rsid w:val="002C5712"/>
    <w:rsid w:val="002C626E"/>
    <w:rsid w:val="002C7954"/>
    <w:rsid w:val="002D127E"/>
    <w:rsid w:val="002D17BF"/>
    <w:rsid w:val="002D2D76"/>
    <w:rsid w:val="002D2F62"/>
    <w:rsid w:val="002D3CCE"/>
    <w:rsid w:val="002D3D98"/>
    <w:rsid w:val="002D40CC"/>
    <w:rsid w:val="002D54C8"/>
    <w:rsid w:val="002D581E"/>
    <w:rsid w:val="002D5BF8"/>
    <w:rsid w:val="002D60CE"/>
    <w:rsid w:val="002D6A0F"/>
    <w:rsid w:val="002D6FD1"/>
    <w:rsid w:val="002D70D7"/>
    <w:rsid w:val="002D7B9A"/>
    <w:rsid w:val="002D7D65"/>
    <w:rsid w:val="002E0C9F"/>
    <w:rsid w:val="002E0CBE"/>
    <w:rsid w:val="002E1810"/>
    <w:rsid w:val="002E28BB"/>
    <w:rsid w:val="002E2BC3"/>
    <w:rsid w:val="002E3087"/>
    <w:rsid w:val="002E3661"/>
    <w:rsid w:val="002E36FB"/>
    <w:rsid w:val="002E3A7D"/>
    <w:rsid w:val="002E6A1D"/>
    <w:rsid w:val="002F0668"/>
    <w:rsid w:val="002F09B5"/>
    <w:rsid w:val="002F0FAD"/>
    <w:rsid w:val="002F11E9"/>
    <w:rsid w:val="002F1F3F"/>
    <w:rsid w:val="002F1F6C"/>
    <w:rsid w:val="002F2AA6"/>
    <w:rsid w:val="002F2ED2"/>
    <w:rsid w:val="002F2F69"/>
    <w:rsid w:val="002F3762"/>
    <w:rsid w:val="002F4B83"/>
    <w:rsid w:val="002F5AE2"/>
    <w:rsid w:val="002F5C1D"/>
    <w:rsid w:val="002F5FE5"/>
    <w:rsid w:val="002F60FD"/>
    <w:rsid w:val="002F62CB"/>
    <w:rsid w:val="002F6A1D"/>
    <w:rsid w:val="002F6E6C"/>
    <w:rsid w:val="002F7AB6"/>
    <w:rsid w:val="0030011E"/>
    <w:rsid w:val="00300826"/>
    <w:rsid w:val="00300959"/>
    <w:rsid w:val="0030123C"/>
    <w:rsid w:val="00301257"/>
    <w:rsid w:val="00302245"/>
    <w:rsid w:val="003026C7"/>
    <w:rsid w:val="003032D8"/>
    <w:rsid w:val="0030372A"/>
    <w:rsid w:val="00303ABC"/>
    <w:rsid w:val="0030465F"/>
    <w:rsid w:val="00304BD2"/>
    <w:rsid w:val="0030511B"/>
    <w:rsid w:val="00305C02"/>
    <w:rsid w:val="00306A00"/>
    <w:rsid w:val="00306ACF"/>
    <w:rsid w:val="00307F10"/>
    <w:rsid w:val="003106DE"/>
    <w:rsid w:val="00310840"/>
    <w:rsid w:val="00310CD6"/>
    <w:rsid w:val="0031346C"/>
    <w:rsid w:val="0031378F"/>
    <w:rsid w:val="00314048"/>
    <w:rsid w:val="003153C5"/>
    <w:rsid w:val="003155C2"/>
    <w:rsid w:val="00315BD1"/>
    <w:rsid w:val="0031681E"/>
    <w:rsid w:val="0031702B"/>
    <w:rsid w:val="00317FCD"/>
    <w:rsid w:val="00321006"/>
    <w:rsid w:val="003219A7"/>
    <w:rsid w:val="0032221E"/>
    <w:rsid w:val="003224C7"/>
    <w:rsid w:val="00323AF9"/>
    <w:rsid w:val="00323B03"/>
    <w:rsid w:val="00323D91"/>
    <w:rsid w:val="003243F5"/>
    <w:rsid w:val="00324889"/>
    <w:rsid w:val="00324BDE"/>
    <w:rsid w:val="003253FE"/>
    <w:rsid w:val="00325401"/>
    <w:rsid w:val="0032570F"/>
    <w:rsid w:val="00326514"/>
    <w:rsid w:val="003265C3"/>
    <w:rsid w:val="003266E6"/>
    <w:rsid w:val="0032735F"/>
    <w:rsid w:val="00327850"/>
    <w:rsid w:val="003316E4"/>
    <w:rsid w:val="0033194E"/>
    <w:rsid w:val="00331B30"/>
    <w:rsid w:val="003339EC"/>
    <w:rsid w:val="00333E40"/>
    <w:rsid w:val="00333F02"/>
    <w:rsid w:val="003344FD"/>
    <w:rsid w:val="00335584"/>
    <w:rsid w:val="00335749"/>
    <w:rsid w:val="00336E5F"/>
    <w:rsid w:val="00337173"/>
    <w:rsid w:val="003375A4"/>
    <w:rsid w:val="00337A69"/>
    <w:rsid w:val="00337BDA"/>
    <w:rsid w:val="00337DB0"/>
    <w:rsid w:val="00340F11"/>
    <w:rsid w:val="003417EC"/>
    <w:rsid w:val="00342849"/>
    <w:rsid w:val="0034299E"/>
    <w:rsid w:val="00342C18"/>
    <w:rsid w:val="0034310F"/>
    <w:rsid w:val="0034342D"/>
    <w:rsid w:val="00343AD9"/>
    <w:rsid w:val="00343C3C"/>
    <w:rsid w:val="003442F1"/>
    <w:rsid w:val="003449C5"/>
    <w:rsid w:val="00344CA4"/>
    <w:rsid w:val="0034521F"/>
    <w:rsid w:val="00346587"/>
    <w:rsid w:val="00346E6E"/>
    <w:rsid w:val="00347309"/>
    <w:rsid w:val="00347857"/>
    <w:rsid w:val="00347EB8"/>
    <w:rsid w:val="00350253"/>
    <w:rsid w:val="003523AE"/>
    <w:rsid w:val="00352DFC"/>
    <w:rsid w:val="00352F47"/>
    <w:rsid w:val="00353071"/>
    <w:rsid w:val="003544EA"/>
    <w:rsid w:val="00354CEB"/>
    <w:rsid w:val="00354E2C"/>
    <w:rsid w:val="00354F20"/>
    <w:rsid w:val="003555FA"/>
    <w:rsid w:val="00355E3E"/>
    <w:rsid w:val="00356C2F"/>
    <w:rsid w:val="00356C64"/>
    <w:rsid w:val="00356CC8"/>
    <w:rsid w:val="00357654"/>
    <w:rsid w:val="0036030A"/>
    <w:rsid w:val="00360693"/>
    <w:rsid w:val="0036079E"/>
    <w:rsid w:val="00360A72"/>
    <w:rsid w:val="003612A7"/>
    <w:rsid w:val="00361C54"/>
    <w:rsid w:val="00361FE6"/>
    <w:rsid w:val="003621E0"/>
    <w:rsid w:val="00362282"/>
    <w:rsid w:val="003623A8"/>
    <w:rsid w:val="00362B7E"/>
    <w:rsid w:val="003636F1"/>
    <w:rsid w:val="003637E9"/>
    <w:rsid w:val="003639D2"/>
    <w:rsid w:val="00364167"/>
    <w:rsid w:val="00364452"/>
    <w:rsid w:val="003644C8"/>
    <w:rsid w:val="003651B1"/>
    <w:rsid w:val="0036582B"/>
    <w:rsid w:val="00366087"/>
    <w:rsid w:val="003665E9"/>
    <w:rsid w:val="00366754"/>
    <w:rsid w:val="00367780"/>
    <w:rsid w:val="003700F3"/>
    <w:rsid w:val="003705BC"/>
    <w:rsid w:val="00370BFC"/>
    <w:rsid w:val="00370C07"/>
    <w:rsid w:val="003711F1"/>
    <w:rsid w:val="00371A02"/>
    <w:rsid w:val="00371AE3"/>
    <w:rsid w:val="00371AE7"/>
    <w:rsid w:val="003722D1"/>
    <w:rsid w:val="003736C3"/>
    <w:rsid w:val="0037381C"/>
    <w:rsid w:val="00373CDB"/>
    <w:rsid w:val="00373D0B"/>
    <w:rsid w:val="00375727"/>
    <w:rsid w:val="00375C81"/>
    <w:rsid w:val="00375FAA"/>
    <w:rsid w:val="00376761"/>
    <w:rsid w:val="00376C15"/>
    <w:rsid w:val="00376D09"/>
    <w:rsid w:val="00380EBA"/>
    <w:rsid w:val="00381004"/>
    <w:rsid w:val="00381AB7"/>
    <w:rsid w:val="00381F23"/>
    <w:rsid w:val="003826C4"/>
    <w:rsid w:val="00382A63"/>
    <w:rsid w:val="00383E2E"/>
    <w:rsid w:val="003845C5"/>
    <w:rsid w:val="003848C2"/>
    <w:rsid w:val="00384979"/>
    <w:rsid w:val="003854A1"/>
    <w:rsid w:val="003855B2"/>
    <w:rsid w:val="00387A73"/>
    <w:rsid w:val="0039002E"/>
    <w:rsid w:val="00390844"/>
    <w:rsid w:val="003909E5"/>
    <w:rsid w:val="00390EBB"/>
    <w:rsid w:val="00391185"/>
    <w:rsid w:val="003927F4"/>
    <w:rsid w:val="003928CD"/>
    <w:rsid w:val="00392CED"/>
    <w:rsid w:val="003939EE"/>
    <w:rsid w:val="00393AA6"/>
    <w:rsid w:val="003953C3"/>
    <w:rsid w:val="00395601"/>
    <w:rsid w:val="00395667"/>
    <w:rsid w:val="00395CF0"/>
    <w:rsid w:val="00396936"/>
    <w:rsid w:val="00396B45"/>
    <w:rsid w:val="0039717A"/>
    <w:rsid w:val="00397907"/>
    <w:rsid w:val="00397EE1"/>
    <w:rsid w:val="003A0186"/>
    <w:rsid w:val="003A03B9"/>
    <w:rsid w:val="003A1DE7"/>
    <w:rsid w:val="003A2013"/>
    <w:rsid w:val="003A2F2D"/>
    <w:rsid w:val="003A3594"/>
    <w:rsid w:val="003A3D84"/>
    <w:rsid w:val="003A4071"/>
    <w:rsid w:val="003A4B17"/>
    <w:rsid w:val="003A4E5C"/>
    <w:rsid w:val="003A5118"/>
    <w:rsid w:val="003A55F2"/>
    <w:rsid w:val="003A57EE"/>
    <w:rsid w:val="003A5903"/>
    <w:rsid w:val="003A5D7C"/>
    <w:rsid w:val="003A63DD"/>
    <w:rsid w:val="003A69B1"/>
    <w:rsid w:val="003A71BE"/>
    <w:rsid w:val="003A751A"/>
    <w:rsid w:val="003B07D0"/>
    <w:rsid w:val="003B0E50"/>
    <w:rsid w:val="003B171E"/>
    <w:rsid w:val="003B1CD7"/>
    <w:rsid w:val="003B22E1"/>
    <w:rsid w:val="003B231A"/>
    <w:rsid w:val="003B2617"/>
    <w:rsid w:val="003B324D"/>
    <w:rsid w:val="003B35F5"/>
    <w:rsid w:val="003B5235"/>
    <w:rsid w:val="003B54FB"/>
    <w:rsid w:val="003B5544"/>
    <w:rsid w:val="003B6334"/>
    <w:rsid w:val="003B667C"/>
    <w:rsid w:val="003B694A"/>
    <w:rsid w:val="003B70DF"/>
    <w:rsid w:val="003B73BE"/>
    <w:rsid w:val="003C287B"/>
    <w:rsid w:val="003C3D12"/>
    <w:rsid w:val="003C3F23"/>
    <w:rsid w:val="003C4686"/>
    <w:rsid w:val="003C526B"/>
    <w:rsid w:val="003C5673"/>
    <w:rsid w:val="003C5894"/>
    <w:rsid w:val="003C6D43"/>
    <w:rsid w:val="003C7662"/>
    <w:rsid w:val="003C7E74"/>
    <w:rsid w:val="003D0C5A"/>
    <w:rsid w:val="003D154B"/>
    <w:rsid w:val="003D1B30"/>
    <w:rsid w:val="003D1F27"/>
    <w:rsid w:val="003D2DF1"/>
    <w:rsid w:val="003D3157"/>
    <w:rsid w:val="003D3B9B"/>
    <w:rsid w:val="003D3E5F"/>
    <w:rsid w:val="003D44AA"/>
    <w:rsid w:val="003D47C1"/>
    <w:rsid w:val="003D5609"/>
    <w:rsid w:val="003D59EE"/>
    <w:rsid w:val="003D639E"/>
    <w:rsid w:val="003E0304"/>
    <w:rsid w:val="003E0667"/>
    <w:rsid w:val="003E0684"/>
    <w:rsid w:val="003E10CD"/>
    <w:rsid w:val="003E12F3"/>
    <w:rsid w:val="003E2EE8"/>
    <w:rsid w:val="003E31C1"/>
    <w:rsid w:val="003E3804"/>
    <w:rsid w:val="003E390E"/>
    <w:rsid w:val="003E4856"/>
    <w:rsid w:val="003E4EF5"/>
    <w:rsid w:val="003E59CF"/>
    <w:rsid w:val="003E7BAC"/>
    <w:rsid w:val="003F04DC"/>
    <w:rsid w:val="003F10F3"/>
    <w:rsid w:val="003F18FF"/>
    <w:rsid w:val="003F227A"/>
    <w:rsid w:val="003F340F"/>
    <w:rsid w:val="003F3D4F"/>
    <w:rsid w:val="003F4468"/>
    <w:rsid w:val="003F49E5"/>
    <w:rsid w:val="003F516A"/>
    <w:rsid w:val="003F5983"/>
    <w:rsid w:val="003F5E62"/>
    <w:rsid w:val="003F6316"/>
    <w:rsid w:val="003F63A2"/>
    <w:rsid w:val="004001BA"/>
    <w:rsid w:val="0040042E"/>
    <w:rsid w:val="00400597"/>
    <w:rsid w:val="004014B2"/>
    <w:rsid w:val="00401874"/>
    <w:rsid w:val="00401C7A"/>
    <w:rsid w:val="00402006"/>
    <w:rsid w:val="0040205F"/>
    <w:rsid w:val="00402A5A"/>
    <w:rsid w:val="00403B47"/>
    <w:rsid w:val="0040400F"/>
    <w:rsid w:val="0040540C"/>
    <w:rsid w:val="00405EE9"/>
    <w:rsid w:val="00406E66"/>
    <w:rsid w:val="004074B5"/>
    <w:rsid w:val="00407BC7"/>
    <w:rsid w:val="00407BF4"/>
    <w:rsid w:val="00407ED6"/>
    <w:rsid w:val="004105D5"/>
    <w:rsid w:val="00410C6E"/>
    <w:rsid w:val="00410F26"/>
    <w:rsid w:val="00411B4A"/>
    <w:rsid w:val="00412094"/>
    <w:rsid w:val="004128CE"/>
    <w:rsid w:val="004129BF"/>
    <w:rsid w:val="00414893"/>
    <w:rsid w:val="00414994"/>
    <w:rsid w:val="00414A45"/>
    <w:rsid w:val="00414BCD"/>
    <w:rsid w:val="004150D9"/>
    <w:rsid w:val="0041537E"/>
    <w:rsid w:val="004165DA"/>
    <w:rsid w:val="00416756"/>
    <w:rsid w:val="00416FB3"/>
    <w:rsid w:val="00417A94"/>
    <w:rsid w:val="004204A7"/>
    <w:rsid w:val="00420B2D"/>
    <w:rsid w:val="00420DC0"/>
    <w:rsid w:val="004213D2"/>
    <w:rsid w:val="00421EB0"/>
    <w:rsid w:val="00421F11"/>
    <w:rsid w:val="004223C2"/>
    <w:rsid w:val="00422703"/>
    <w:rsid w:val="00424210"/>
    <w:rsid w:val="00424302"/>
    <w:rsid w:val="00424D58"/>
    <w:rsid w:val="00424EA4"/>
    <w:rsid w:val="0042508A"/>
    <w:rsid w:val="00425215"/>
    <w:rsid w:val="00425C65"/>
    <w:rsid w:val="0042674C"/>
    <w:rsid w:val="0042729C"/>
    <w:rsid w:val="004275D7"/>
    <w:rsid w:val="00427D31"/>
    <w:rsid w:val="004300F1"/>
    <w:rsid w:val="004311CD"/>
    <w:rsid w:val="00431905"/>
    <w:rsid w:val="004325B5"/>
    <w:rsid w:val="00432D8F"/>
    <w:rsid w:val="0043353B"/>
    <w:rsid w:val="00433637"/>
    <w:rsid w:val="00434432"/>
    <w:rsid w:val="00434569"/>
    <w:rsid w:val="00434942"/>
    <w:rsid w:val="00435A99"/>
    <w:rsid w:val="00435D5A"/>
    <w:rsid w:val="00435F77"/>
    <w:rsid w:val="0043627D"/>
    <w:rsid w:val="00436996"/>
    <w:rsid w:val="00436BDA"/>
    <w:rsid w:val="00436F2A"/>
    <w:rsid w:val="0043742E"/>
    <w:rsid w:val="00437F76"/>
    <w:rsid w:val="004400BF"/>
    <w:rsid w:val="00440C77"/>
    <w:rsid w:val="004415EC"/>
    <w:rsid w:val="0044261A"/>
    <w:rsid w:val="00442FB4"/>
    <w:rsid w:val="00443492"/>
    <w:rsid w:val="00443A9C"/>
    <w:rsid w:val="004449B8"/>
    <w:rsid w:val="00444AA3"/>
    <w:rsid w:val="00445D4E"/>
    <w:rsid w:val="00445E29"/>
    <w:rsid w:val="0044631B"/>
    <w:rsid w:val="00447077"/>
    <w:rsid w:val="0044713C"/>
    <w:rsid w:val="00450CAB"/>
    <w:rsid w:val="00450CF8"/>
    <w:rsid w:val="00450D65"/>
    <w:rsid w:val="00450FEA"/>
    <w:rsid w:val="00451A38"/>
    <w:rsid w:val="00451A50"/>
    <w:rsid w:val="004525F3"/>
    <w:rsid w:val="00452FB9"/>
    <w:rsid w:val="00453174"/>
    <w:rsid w:val="0045630D"/>
    <w:rsid w:val="00456C29"/>
    <w:rsid w:val="00460BEE"/>
    <w:rsid w:val="00461288"/>
    <w:rsid w:val="00461C3F"/>
    <w:rsid w:val="00462F49"/>
    <w:rsid w:val="00463740"/>
    <w:rsid w:val="0046486C"/>
    <w:rsid w:val="00464B3B"/>
    <w:rsid w:val="00464F9E"/>
    <w:rsid w:val="00465AE3"/>
    <w:rsid w:val="00465B45"/>
    <w:rsid w:val="0046603E"/>
    <w:rsid w:val="004703AE"/>
    <w:rsid w:val="004706A0"/>
    <w:rsid w:val="0047082C"/>
    <w:rsid w:val="00470F8A"/>
    <w:rsid w:val="004715BD"/>
    <w:rsid w:val="0047173A"/>
    <w:rsid w:val="00471761"/>
    <w:rsid w:val="00473123"/>
    <w:rsid w:val="004740A3"/>
    <w:rsid w:val="004753DB"/>
    <w:rsid w:val="00475B5C"/>
    <w:rsid w:val="00476181"/>
    <w:rsid w:val="0047643B"/>
    <w:rsid w:val="004777DB"/>
    <w:rsid w:val="004779D3"/>
    <w:rsid w:val="00480143"/>
    <w:rsid w:val="00482A28"/>
    <w:rsid w:val="00482FDA"/>
    <w:rsid w:val="00483334"/>
    <w:rsid w:val="004839A3"/>
    <w:rsid w:val="00483C3D"/>
    <w:rsid w:val="00485170"/>
    <w:rsid w:val="004854F1"/>
    <w:rsid w:val="00485A95"/>
    <w:rsid w:val="004862E3"/>
    <w:rsid w:val="0048666A"/>
    <w:rsid w:val="00486E24"/>
    <w:rsid w:val="00487B40"/>
    <w:rsid w:val="00490AD0"/>
    <w:rsid w:val="00490B89"/>
    <w:rsid w:val="0049172E"/>
    <w:rsid w:val="00491E08"/>
    <w:rsid w:val="004925B8"/>
    <w:rsid w:val="00492AF5"/>
    <w:rsid w:val="00493174"/>
    <w:rsid w:val="00493230"/>
    <w:rsid w:val="00493600"/>
    <w:rsid w:val="004936F3"/>
    <w:rsid w:val="00493A1F"/>
    <w:rsid w:val="00493DA8"/>
    <w:rsid w:val="0049474C"/>
    <w:rsid w:val="00494F58"/>
    <w:rsid w:val="00495AFF"/>
    <w:rsid w:val="00495C22"/>
    <w:rsid w:val="00495F8C"/>
    <w:rsid w:val="00496AD0"/>
    <w:rsid w:val="004A0167"/>
    <w:rsid w:val="004A06C7"/>
    <w:rsid w:val="004A08E7"/>
    <w:rsid w:val="004A0CBD"/>
    <w:rsid w:val="004A1F23"/>
    <w:rsid w:val="004A1F76"/>
    <w:rsid w:val="004A254B"/>
    <w:rsid w:val="004A3088"/>
    <w:rsid w:val="004A30AC"/>
    <w:rsid w:val="004A3933"/>
    <w:rsid w:val="004A3D19"/>
    <w:rsid w:val="004A3DDC"/>
    <w:rsid w:val="004A3E59"/>
    <w:rsid w:val="004A4BBB"/>
    <w:rsid w:val="004A6011"/>
    <w:rsid w:val="004A735D"/>
    <w:rsid w:val="004A7E3F"/>
    <w:rsid w:val="004B11EE"/>
    <w:rsid w:val="004B1810"/>
    <w:rsid w:val="004B1F54"/>
    <w:rsid w:val="004B20C6"/>
    <w:rsid w:val="004B283E"/>
    <w:rsid w:val="004B2982"/>
    <w:rsid w:val="004B3026"/>
    <w:rsid w:val="004B4424"/>
    <w:rsid w:val="004B44EF"/>
    <w:rsid w:val="004B492A"/>
    <w:rsid w:val="004B4969"/>
    <w:rsid w:val="004B4BE1"/>
    <w:rsid w:val="004B55D0"/>
    <w:rsid w:val="004B74FC"/>
    <w:rsid w:val="004B757D"/>
    <w:rsid w:val="004B7710"/>
    <w:rsid w:val="004B772C"/>
    <w:rsid w:val="004C1265"/>
    <w:rsid w:val="004C2731"/>
    <w:rsid w:val="004C2985"/>
    <w:rsid w:val="004C2CEA"/>
    <w:rsid w:val="004C36F7"/>
    <w:rsid w:val="004C38A9"/>
    <w:rsid w:val="004C3BC2"/>
    <w:rsid w:val="004C3C4E"/>
    <w:rsid w:val="004C5608"/>
    <w:rsid w:val="004C5E9F"/>
    <w:rsid w:val="004C6259"/>
    <w:rsid w:val="004C6EB1"/>
    <w:rsid w:val="004C6FFB"/>
    <w:rsid w:val="004C7F3A"/>
    <w:rsid w:val="004D0FB5"/>
    <w:rsid w:val="004D1DB7"/>
    <w:rsid w:val="004D2A15"/>
    <w:rsid w:val="004D2BD0"/>
    <w:rsid w:val="004D354E"/>
    <w:rsid w:val="004D3753"/>
    <w:rsid w:val="004D3EC4"/>
    <w:rsid w:val="004D47AF"/>
    <w:rsid w:val="004D4A73"/>
    <w:rsid w:val="004D652F"/>
    <w:rsid w:val="004D6D91"/>
    <w:rsid w:val="004D6F9C"/>
    <w:rsid w:val="004D71A7"/>
    <w:rsid w:val="004D7D4C"/>
    <w:rsid w:val="004D7F5B"/>
    <w:rsid w:val="004D7F71"/>
    <w:rsid w:val="004E002B"/>
    <w:rsid w:val="004E09E5"/>
    <w:rsid w:val="004E0E92"/>
    <w:rsid w:val="004E1F87"/>
    <w:rsid w:val="004E2178"/>
    <w:rsid w:val="004E2B9E"/>
    <w:rsid w:val="004E3190"/>
    <w:rsid w:val="004E3902"/>
    <w:rsid w:val="004E3C60"/>
    <w:rsid w:val="004E4274"/>
    <w:rsid w:val="004E607D"/>
    <w:rsid w:val="004E6568"/>
    <w:rsid w:val="004E66E2"/>
    <w:rsid w:val="004E67B4"/>
    <w:rsid w:val="004F000E"/>
    <w:rsid w:val="004F0196"/>
    <w:rsid w:val="004F03DB"/>
    <w:rsid w:val="004F1E55"/>
    <w:rsid w:val="004F2179"/>
    <w:rsid w:val="004F2668"/>
    <w:rsid w:val="004F268C"/>
    <w:rsid w:val="004F2B21"/>
    <w:rsid w:val="004F2F9A"/>
    <w:rsid w:val="004F35B2"/>
    <w:rsid w:val="004F3A81"/>
    <w:rsid w:val="004F3CF9"/>
    <w:rsid w:val="004F45D2"/>
    <w:rsid w:val="004F4FA8"/>
    <w:rsid w:val="004F5059"/>
    <w:rsid w:val="004F5303"/>
    <w:rsid w:val="004F5E1D"/>
    <w:rsid w:val="004F5F05"/>
    <w:rsid w:val="004F6532"/>
    <w:rsid w:val="004F72C0"/>
    <w:rsid w:val="004F749C"/>
    <w:rsid w:val="004F7650"/>
    <w:rsid w:val="004F7D6E"/>
    <w:rsid w:val="004F7E4D"/>
    <w:rsid w:val="00500455"/>
    <w:rsid w:val="00500C6A"/>
    <w:rsid w:val="00500EB5"/>
    <w:rsid w:val="005025B7"/>
    <w:rsid w:val="00504712"/>
    <w:rsid w:val="00505104"/>
    <w:rsid w:val="005051B3"/>
    <w:rsid w:val="00505413"/>
    <w:rsid w:val="005056D2"/>
    <w:rsid w:val="00506520"/>
    <w:rsid w:val="00510002"/>
    <w:rsid w:val="00510707"/>
    <w:rsid w:val="00510858"/>
    <w:rsid w:val="0051153B"/>
    <w:rsid w:val="00511547"/>
    <w:rsid w:val="005119F5"/>
    <w:rsid w:val="00511B4F"/>
    <w:rsid w:val="00511B97"/>
    <w:rsid w:val="00512939"/>
    <w:rsid w:val="0051367F"/>
    <w:rsid w:val="00514D98"/>
    <w:rsid w:val="00515932"/>
    <w:rsid w:val="00515A10"/>
    <w:rsid w:val="0051721A"/>
    <w:rsid w:val="005172FF"/>
    <w:rsid w:val="005175AA"/>
    <w:rsid w:val="00517EE9"/>
    <w:rsid w:val="0052060F"/>
    <w:rsid w:val="00520B2A"/>
    <w:rsid w:val="00520C98"/>
    <w:rsid w:val="00520E28"/>
    <w:rsid w:val="00521083"/>
    <w:rsid w:val="00521718"/>
    <w:rsid w:val="00522CD7"/>
    <w:rsid w:val="00523BED"/>
    <w:rsid w:val="00524622"/>
    <w:rsid w:val="005258C9"/>
    <w:rsid w:val="00525C8A"/>
    <w:rsid w:val="00525D47"/>
    <w:rsid w:val="00525EFE"/>
    <w:rsid w:val="005266C6"/>
    <w:rsid w:val="0052774F"/>
    <w:rsid w:val="00527E0E"/>
    <w:rsid w:val="005302FA"/>
    <w:rsid w:val="0053036C"/>
    <w:rsid w:val="00531C53"/>
    <w:rsid w:val="0053233B"/>
    <w:rsid w:val="00532EA9"/>
    <w:rsid w:val="00533018"/>
    <w:rsid w:val="005332F9"/>
    <w:rsid w:val="00533EDB"/>
    <w:rsid w:val="00534043"/>
    <w:rsid w:val="005357C0"/>
    <w:rsid w:val="00535D1B"/>
    <w:rsid w:val="00536508"/>
    <w:rsid w:val="00541363"/>
    <w:rsid w:val="0054199B"/>
    <w:rsid w:val="00541DD4"/>
    <w:rsid w:val="00541FEC"/>
    <w:rsid w:val="0054244A"/>
    <w:rsid w:val="0054287E"/>
    <w:rsid w:val="00542A6E"/>
    <w:rsid w:val="0054327F"/>
    <w:rsid w:val="00543833"/>
    <w:rsid w:val="00543BD7"/>
    <w:rsid w:val="0054441E"/>
    <w:rsid w:val="00544725"/>
    <w:rsid w:val="00544840"/>
    <w:rsid w:val="005449C2"/>
    <w:rsid w:val="00544C98"/>
    <w:rsid w:val="0054593D"/>
    <w:rsid w:val="005463D6"/>
    <w:rsid w:val="005530E9"/>
    <w:rsid w:val="00554358"/>
    <w:rsid w:val="00554A7C"/>
    <w:rsid w:val="00554DC6"/>
    <w:rsid w:val="005550DB"/>
    <w:rsid w:val="0055543E"/>
    <w:rsid w:val="00556022"/>
    <w:rsid w:val="00556E20"/>
    <w:rsid w:val="005573F8"/>
    <w:rsid w:val="00557B29"/>
    <w:rsid w:val="00557DB3"/>
    <w:rsid w:val="00557FF9"/>
    <w:rsid w:val="00560106"/>
    <w:rsid w:val="00560429"/>
    <w:rsid w:val="00560668"/>
    <w:rsid w:val="00560814"/>
    <w:rsid w:val="005618E4"/>
    <w:rsid w:val="005622AC"/>
    <w:rsid w:val="00562865"/>
    <w:rsid w:val="00562B5B"/>
    <w:rsid w:val="005632A9"/>
    <w:rsid w:val="00563515"/>
    <w:rsid w:val="005639FB"/>
    <w:rsid w:val="00563F20"/>
    <w:rsid w:val="0056474C"/>
    <w:rsid w:val="00564863"/>
    <w:rsid w:val="00565C00"/>
    <w:rsid w:val="00566832"/>
    <w:rsid w:val="00566B86"/>
    <w:rsid w:val="00567CEA"/>
    <w:rsid w:val="00567EE0"/>
    <w:rsid w:val="0057095D"/>
    <w:rsid w:val="00571B1E"/>
    <w:rsid w:val="00571D3D"/>
    <w:rsid w:val="00571E4B"/>
    <w:rsid w:val="005722AA"/>
    <w:rsid w:val="00572645"/>
    <w:rsid w:val="00572D92"/>
    <w:rsid w:val="00572E80"/>
    <w:rsid w:val="00572FBD"/>
    <w:rsid w:val="00573E28"/>
    <w:rsid w:val="00573F53"/>
    <w:rsid w:val="00574F8E"/>
    <w:rsid w:val="00575B7D"/>
    <w:rsid w:val="00575D8E"/>
    <w:rsid w:val="005760B9"/>
    <w:rsid w:val="005768B9"/>
    <w:rsid w:val="00576E1F"/>
    <w:rsid w:val="00580DAD"/>
    <w:rsid w:val="005813C5"/>
    <w:rsid w:val="005823D9"/>
    <w:rsid w:val="00583491"/>
    <w:rsid w:val="00583D24"/>
    <w:rsid w:val="00585531"/>
    <w:rsid w:val="0058562E"/>
    <w:rsid w:val="00585E12"/>
    <w:rsid w:val="00586DD3"/>
    <w:rsid w:val="005874E3"/>
    <w:rsid w:val="00590F9A"/>
    <w:rsid w:val="005915AE"/>
    <w:rsid w:val="00591B7C"/>
    <w:rsid w:val="005922DF"/>
    <w:rsid w:val="005925FD"/>
    <w:rsid w:val="00592812"/>
    <w:rsid w:val="00593165"/>
    <w:rsid w:val="00593534"/>
    <w:rsid w:val="0059359A"/>
    <w:rsid w:val="0059401A"/>
    <w:rsid w:val="0059441B"/>
    <w:rsid w:val="00594F64"/>
    <w:rsid w:val="005956C5"/>
    <w:rsid w:val="00595CC9"/>
    <w:rsid w:val="00597158"/>
    <w:rsid w:val="00597758"/>
    <w:rsid w:val="005A06AC"/>
    <w:rsid w:val="005A09A4"/>
    <w:rsid w:val="005A115B"/>
    <w:rsid w:val="005A2088"/>
    <w:rsid w:val="005A25EA"/>
    <w:rsid w:val="005A279D"/>
    <w:rsid w:val="005A3955"/>
    <w:rsid w:val="005A4765"/>
    <w:rsid w:val="005A58E9"/>
    <w:rsid w:val="005A5D94"/>
    <w:rsid w:val="005A6313"/>
    <w:rsid w:val="005A6878"/>
    <w:rsid w:val="005A6B35"/>
    <w:rsid w:val="005A72F6"/>
    <w:rsid w:val="005A7885"/>
    <w:rsid w:val="005A78FA"/>
    <w:rsid w:val="005B15C2"/>
    <w:rsid w:val="005B1BA1"/>
    <w:rsid w:val="005B1D80"/>
    <w:rsid w:val="005B1E88"/>
    <w:rsid w:val="005B28C2"/>
    <w:rsid w:val="005B2A3A"/>
    <w:rsid w:val="005B2EAC"/>
    <w:rsid w:val="005B3D3D"/>
    <w:rsid w:val="005B47FE"/>
    <w:rsid w:val="005B6870"/>
    <w:rsid w:val="005B69EB"/>
    <w:rsid w:val="005B6F7A"/>
    <w:rsid w:val="005B7355"/>
    <w:rsid w:val="005B7A2F"/>
    <w:rsid w:val="005B7B65"/>
    <w:rsid w:val="005B7E5A"/>
    <w:rsid w:val="005C15BE"/>
    <w:rsid w:val="005C181D"/>
    <w:rsid w:val="005C1D71"/>
    <w:rsid w:val="005C27CC"/>
    <w:rsid w:val="005C4892"/>
    <w:rsid w:val="005C4ACC"/>
    <w:rsid w:val="005C5131"/>
    <w:rsid w:val="005C5764"/>
    <w:rsid w:val="005C5EB4"/>
    <w:rsid w:val="005C6344"/>
    <w:rsid w:val="005C655D"/>
    <w:rsid w:val="005C692C"/>
    <w:rsid w:val="005C6EC4"/>
    <w:rsid w:val="005C6FA3"/>
    <w:rsid w:val="005C74C4"/>
    <w:rsid w:val="005C7623"/>
    <w:rsid w:val="005C79F7"/>
    <w:rsid w:val="005C7A79"/>
    <w:rsid w:val="005C7A93"/>
    <w:rsid w:val="005D0C6E"/>
    <w:rsid w:val="005D1223"/>
    <w:rsid w:val="005D122B"/>
    <w:rsid w:val="005D1A59"/>
    <w:rsid w:val="005D1EB2"/>
    <w:rsid w:val="005D3B0B"/>
    <w:rsid w:val="005D3D46"/>
    <w:rsid w:val="005D4063"/>
    <w:rsid w:val="005D4540"/>
    <w:rsid w:val="005D510E"/>
    <w:rsid w:val="005D531E"/>
    <w:rsid w:val="005D53D2"/>
    <w:rsid w:val="005D576F"/>
    <w:rsid w:val="005D6473"/>
    <w:rsid w:val="005E037C"/>
    <w:rsid w:val="005E21DB"/>
    <w:rsid w:val="005E264A"/>
    <w:rsid w:val="005E2A84"/>
    <w:rsid w:val="005E4864"/>
    <w:rsid w:val="005E4EC6"/>
    <w:rsid w:val="005E55AB"/>
    <w:rsid w:val="005E5B12"/>
    <w:rsid w:val="005E5D08"/>
    <w:rsid w:val="005E5D36"/>
    <w:rsid w:val="005E7E1F"/>
    <w:rsid w:val="005F0A5C"/>
    <w:rsid w:val="005F0A71"/>
    <w:rsid w:val="005F0EDA"/>
    <w:rsid w:val="005F260D"/>
    <w:rsid w:val="005F2D96"/>
    <w:rsid w:val="005F44EE"/>
    <w:rsid w:val="005F55BD"/>
    <w:rsid w:val="005F5772"/>
    <w:rsid w:val="005F5AC9"/>
    <w:rsid w:val="005F5C5F"/>
    <w:rsid w:val="005F5CAD"/>
    <w:rsid w:val="005F758F"/>
    <w:rsid w:val="00600043"/>
    <w:rsid w:val="00600BEC"/>
    <w:rsid w:val="00600E6A"/>
    <w:rsid w:val="00601C24"/>
    <w:rsid w:val="00601E0F"/>
    <w:rsid w:val="00603531"/>
    <w:rsid w:val="00603BFF"/>
    <w:rsid w:val="00603C12"/>
    <w:rsid w:val="00604482"/>
    <w:rsid w:val="00604CD1"/>
    <w:rsid w:val="006050B8"/>
    <w:rsid w:val="006062AC"/>
    <w:rsid w:val="0060644A"/>
    <w:rsid w:val="006064AF"/>
    <w:rsid w:val="006066DB"/>
    <w:rsid w:val="00606801"/>
    <w:rsid w:val="00606B97"/>
    <w:rsid w:val="00606F8B"/>
    <w:rsid w:val="006071E9"/>
    <w:rsid w:val="006075F7"/>
    <w:rsid w:val="00607CBF"/>
    <w:rsid w:val="006104B1"/>
    <w:rsid w:val="00610C8D"/>
    <w:rsid w:val="00610E3E"/>
    <w:rsid w:val="006119B1"/>
    <w:rsid w:val="00611B1B"/>
    <w:rsid w:val="00611E8D"/>
    <w:rsid w:val="00612938"/>
    <w:rsid w:val="00613824"/>
    <w:rsid w:val="00613D12"/>
    <w:rsid w:val="006140D1"/>
    <w:rsid w:val="006144F4"/>
    <w:rsid w:val="006147BB"/>
    <w:rsid w:val="00614B50"/>
    <w:rsid w:val="00614DF9"/>
    <w:rsid w:val="006166D8"/>
    <w:rsid w:val="00616702"/>
    <w:rsid w:val="006172B8"/>
    <w:rsid w:val="00617467"/>
    <w:rsid w:val="00620480"/>
    <w:rsid w:val="00620C9B"/>
    <w:rsid w:val="00621C6A"/>
    <w:rsid w:val="006224EC"/>
    <w:rsid w:val="00622F7E"/>
    <w:rsid w:val="00623100"/>
    <w:rsid w:val="00623148"/>
    <w:rsid w:val="006237BC"/>
    <w:rsid w:val="00623936"/>
    <w:rsid w:val="00623B56"/>
    <w:rsid w:val="006242E6"/>
    <w:rsid w:val="0062567B"/>
    <w:rsid w:val="00625E47"/>
    <w:rsid w:val="00626907"/>
    <w:rsid w:val="00627B58"/>
    <w:rsid w:val="00627E3E"/>
    <w:rsid w:val="00627F17"/>
    <w:rsid w:val="0063082F"/>
    <w:rsid w:val="00630861"/>
    <w:rsid w:val="00630AC1"/>
    <w:rsid w:val="00630BE0"/>
    <w:rsid w:val="006330EE"/>
    <w:rsid w:val="00633821"/>
    <w:rsid w:val="00633930"/>
    <w:rsid w:val="00633D45"/>
    <w:rsid w:val="00633E6E"/>
    <w:rsid w:val="00634206"/>
    <w:rsid w:val="006344E7"/>
    <w:rsid w:val="006346C0"/>
    <w:rsid w:val="006350EE"/>
    <w:rsid w:val="00635863"/>
    <w:rsid w:val="00635873"/>
    <w:rsid w:val="006359C5"/>
    <w:rsid w:val="00635D4E"/>
    <w:rsid w:val="00636096"/>
    <w:rsid w:val="0063636B"/>
    <w:rsid w:val="00636819"/>
    <w:rsid w:val="00636CEE"/>
    <w:rsid w:val="006400A9"/>
    <w:rsid w:val="0064091F"/>
    <w:rsid w:val="00640C6E"/>
    <w:rsid w:val="00640F69"/>
    <w:rsid w:val="00641B01"/>
    <w:rsid w:val="00642ABF"/>
    <w:rsid w:val="00642E1F"/>
    <w:rsid w:val="00643463"/>
    <w:rsid w:val="0064376C"/>
    <w:rsid w:val="00643F19"/>
    <w:rsid w:val="00644467"/>
    <w:rsid w:val="00644809"/>
    <w:rsid w:val="00644BE4"/>
    <w:rsid w:val="00644D7A"/>
    <w:rsid w:val="00645840"/>
    <w:rsid w:val="006466A9"/>
    <w:rsid w:val="00647581"/>
    <w:rsid w:val="00647596"/>
    <w:rsid w:val="0065022B"/>
    <w:rsid w:val="00650D1C"/>
    <w:rsid w:val="00650D5C"/>
    <w:rsid w:val="00652423"/>
    <w:rsid w:val="00652733"/>
    <w:rsid w:val="00652BCC"/>
    <w:rsid w:val="00652C8C"/>
    <w:rsid w:val="00652D14"/>
    <w:rsid w:val="00653946"/>
    <w:rsid w:val="00653C47"/>
    <w:rsid w:val="00653F95"/>
    <w:rsid w:val="00653FE0"/>
    <w:rsid w:val="00654798"/>
    <w:rsid w:val="00654BAA"/>
    <w:rsid w:val="00655086"/>
    <w:rsid w:val="006550CD"/>
    <w:rsid w:val="0065554F"/>
    <w:rsid w:val="00655577"/>
    <w:rsid w:val="006571F6"/>
    <w:rsid w:val="00660075"/>
    <w:rsid w:val="0066115C"/>
    <w:rsid w:val="00661F78"/>
    <w:rsid w:val="00662A56"/>
    <w:rsid w:val="00662B79"/>
    <w:rsid w:val="00662B9D"/>
    <w:rsid w:val="00663EF2"/>
    <w:rsid w:val="00664583"/>
    <w:rsid w:val="00664765"/>
    <w:rsid w:val="0066478B"/>
    <w:rsid w:val="00664DD8"/>
    <w:rsid w:val="00665578"/>
    <w:rsid w:val="0066621C"/>
    <w:rsid w:val="0066633D"/>
    <w:rsid w:val="006670CF"/>
    <w:rsid w:val="006679CD"/>
    <w:rsid w:val="00667EF1"/>
    <w:rsid w:val="00670642"/>
    <w:rsid w:val="006706BE"/>
    <w:rsid w:val="00670CA1"/>
    <w:rsid w:val="0067175A"/>
    <w:rsid w:val="00671CD3"/>
    <w:rsid w:val="006721EB"/>
    <w:rsid w:val="0067315B"/>
    <w:rsid w:val="0067319D"/>
    <w:rsid w:val="0067324F"/>
    <w:rsid w:val="00674C8F"/>
    <w:rsid w:val="00674DA2"/>
    <w:rsid w:val="00675BA8"/>
    <w:rsid w:val="00676174"/>
    <w:rsid w:val="00676331"/>
    <w:rsid w:val="0067634F"/>
    <w:rsid w:val="0067644A"/>
    <w:rsid w:val="00676975"/>
    <w:rsid w:val="00676E6B"/>
    <w:rsid w:val="006775C2"/>
    <w:rsid w:val="006779E6"/>
    <w:rsid w:val="00677CDA"/>
    <w:rsid w:val="00681DD3"/>
    <w:rsid w:val="006824E4"/>
    <w:rsid w:val="0068262A"/>
    <w:rsid w:val="00683257"/>
    <w:rsid w:val="00683C28"/>
    <w:rsid w:val="006857C7"/>
    <w:rsid w:val="00685993"/>
    <w:rsid w:val="00685B8D"/>
    <w:rsid w:val="00685C41"/>
    <w:rsid w:val="00686398"/>
    <w:rsid w:val="006863EE"/>
    <w:rsid w:val="006865D1"/>
    <w:rsid w:val="00687274"/>
    <w:rsid w:val="00687B7A"/>
    <w:rsid w:val="00687E82"/>
    <w:rsid w:val="00687FED"/>
    <w:rsid w:val="00690261"/>
    <w:rsid w:val="0069182E"/>
    <w:rsid w:val="00692230"/>
    <w:rsid w:val="00692DD6"/>
    <w:rsid w:val="00693E64"/>
    <w:rsid w:val="006942AD"/>
    <w:rsid w:val="00694464"/>
    <w:rsid w:val="00694C3E"/>
    <w:rsid w:val="00694E88"/>
    <w:rsid w:val="006951CE"/>
    <w:rsid w:val="0069535B"/>
    <w:rsid w:val="00695E92"/>
    <w:rsid w:val="0069658A"/>
    <w:rsid w:val="00696C75"/>
    <w:rsid w:val="006971B6"/>
    <w:rsid w:val="006976EB"/>
    <w:rsid w:val="006A0983"/>
    <w:rsid w:val="006A1308"/>
    <w:rsid w:val="006A1974"/>
    <w:rsid w:val="006A225C"/>
    <w:rsid w:val="006A2395"/>
    <w:rsid w:val="006A2775"/>
    <w:rsid w:val="006A3536"/>
    <w:rsid w:val="006A3B6C"/>
    <w:rsid w:val="006A49DA"/>
    <w:rsid w:val="006A4B97"/>
    <w:rsid w:val="006A5403"/>
    <w:rsid w:val="006A5481"/>
    <w:rsid w:val="006A59FB"/>
    <w:rsid w:val="006A6CCC"/>
    <w:rsid w:val="006A6FA1"/>
    <w:rsid w:val="006B02F4"/>
    <w:rsid w:val="006B0606"/>
    <w:rsid w:val="006B0814"/>
    <w:rsid w:val="006B0924"/>
    <w:rsid w:val="006B0B8C"/>
    <w:rsid w:val="006B153F"/>
    <w:rsid w:val="006B22BC"/>
    <w:rsid w:val="006B2404"/>
    <w:rsid w:val="006B283C"/>
    <w:rsid w:val="006B298B"/>
    <w:rsid w:val="006B32CC"/>
    <w:rsid w:val="006B39E9"/>
    <w:rsid w:val="006B4B5F"/>
    <w:rsid w:val="006B582E"/>
    <w:rsid w:val="006B5AFD"/>
    <w:rsid w:val="006B5B18"/>
    <w:rsid w:val="006B766D"/>
    <w:rsid w:val="006B7923"/>
    <w:rsid w:val="006B79B1"/>
    <w:rsid w:val="006B7DC7"/>
    <w:rsid w:val="006C0038"/>
    <w:rsid w:val="006C1149"/>
    <w:rsid w:val="006C1EEC"/>
    <w:rsid w:val="006C2484"/>
    <w:rsid w:val="006C24F4"/>
    <w:rsid w:val="006C26E5"/>
    <w:rsid w:val="006C33F9"/>
    <w:rsid w:val="006C5124"/>
    <w:rsid w:val="006C5668"/>
    <w:rsid w:val="006C56FE"/>
    <w:rsid w:val="006C5C18"/>
    <w:rsid w:val="006C60B8"/>
    <w:rsid w:val="006C6BCF"/>
    <w:rsid w:val="006C6FE9"/>
    <w:rsid w:val="006C76D5"/>
    <w:rsid w:val="006C7D50"/>
    <w:rsid w:val="006C7FA1"/>
    <w:rsid w:val="006D170A"/>
    <w:rsid w:val="006D17B0"/>
    <w:rsid w:val="006D1806"/>
    <w:rsid w:val="006D2131"/>
    <w:rsid w:val="006D2226"/>
    <w:rsid w:val="006D29B1"/>
    <w:rsid w:val="006D3A20"/>
    <w:rsid w:val="006D3A57"/>
    <w:rsid w:val="006D3B46"/>
    <w:rsid w:val="006D4254"/>
    <w:rsid w:val="006D4255"/>
    <w:rsid w:val="006D42F2"/>
    <w:rsid w:val="006D43A9"/>
    <w:rsid w:val="006D4646"/>
    <w:rsid w:val="006D521B"/>
    <w:rsid w:val="006D528F"/>
    <w:rsid w:val="006D6845"/>
    <w:rsid w:val="006D6A41"/>
    <w:rsid w:val="006D6E16"/>
    <w:rsid w:val="006D7019"/>
    <w:rsid w:val="006E0B9B"/>
    <w:rsid w:val="006E0CF9"/>
    <w:rsid w:val="006E1447"/>
    <w:rsid w:val="006E187E"/>
    <w:rsid w:val="006E1F86"/>
    <w:rsid w:val="006E25F5"/>
    <w:rsid w:val="006E2C52"/>
    <w:rsid w:val="006E4446"/>
    <w:rsid w:val="006E45C3"/>
    <w:rsid w:val="006E58EC"/>
    <w:rsid w:val="006E7172"/>
    <w:rsid w:val="006E72DB"/>
    <w:rsid w:val="006E7E94"/>
    <w:rsid w:val="006E7FFE"/>
    <w:rsid w:val="006F0137"/>
    <w:rsid w:val="006F0250"/>
    <w:rsid w:val="006F131D"/>
    <w:rsid w:val="006F148B"/>
    <w:rsid w:val="006F1A96"/>
    <w:rsid w:val="006F2AD8"/>
    <w:rsid w:val="006F2B64"/>
    <w:rsid w:val="006F31F2"/>
    <w:rsid w:val="006F460D"/>
    <w:rsid w:val="006F4A5C"/>
    <w:rsid w:val="006F4DEE"/>
    <w:rsid w:val="006F5224"/>
    <w:rsid w:val="006F5B29"/>
    <w:rsid w:val="006F5F2C"/>
    <w:rsid w:val="006F5F66"/>
    <w:rsid w:val="006F63DE"/>
    <w:rsid w:val="006F661E"/>
    <w:rsid w:val="006F6653"/>
    <w:rsid w:val="006F6D13"/>
    <w:rsid w:val="006F6FF0"/>
    <w:rsid w:val="006F7558"/>
    <w:rsid w:val="007002E8"/>
    <w:rsid w:val="007007FD"/>
    <w:rsid w:val="00700C1E"/>
    <w:rsid w:val="00700DEC"/>
    <w:rsid w:val="00701EF7"/>
    <w:rsid w:val="0070417D"/>
    <w:rsid w:val="00705101"/>
    <w:rsid w:val="007057AE"/>
    <w:rsid w:val="00705D44"/>
    <w:rsid w:val="00706155"/>
    <w:rsid w:val="00706217"/>
    <w:rsid w:val="00706CF0"/>
    <w:rsid w:val="00706DE2"/>
    <w:rsid w:val="007079A9"/>
    <w:rsid w:val="00710826"/>
    <w:rsid w:val="00710B29"/>
    <w:rsid w:val="00710BD0"/>
    <w:rsid w:val="007119CE"/>
    <w:rsid w:val="00712A73"/>
    <w:rsid w:val="007131B0"/>
    <w:rsid w:val="00713437"/>
    <w:rsid w:val="007134DB"/>
    <w:rsid w:val="00713E85"/>
    <w:rsid w:val="0071480F"/>
    <w:rsid w:val="00714E99"/>
    <w:rsid w:val="0071587E"/>
    <w:rsid w:val="00715888"/>
    <w:rsid w:val="00715C60"/>
    <w:rsid w:val="0071673D"/>
    <w:rsid w:val="00716B77"/>
    <w:rsid w:val="00717019"/>
    <w:rsid w:val="0071749A"/>
    <w:rsid w:val="00717B83"/>
    <w:rsid w:val="0072027B"/>
    <w:rsid w:val="0072028D"/>
    <w:rsid w:val="007213D5"/>
    <w:rsid w:val="00721DFB"/>
    <w:rsid w:val="00721FE0"/>
    <w:rsid w:val="007220DD"/>
    <w:rsid w:val="00722339"/>
    <w:rsid w:val="007236E0"/>
    <w:rsid w:val="00724AE4"/>
    <w:rsid w:val="0072565D"/>
    <w:rsid w:val="00725907"/>
    <w:rsid w:val="00725FE3"/>
    <w:rsid w:val="007263F1"/>
    <w:rsid w:val="00726900"/>
    <w:rsid w:val="00727D2E"/>
    <w:rsid w:val="00730195"/>
    <w:rsid w:val="00731074"/>
    <w:rsid w:val="007312BD"/>
    <w:rsid w:val="0073195D"/>
    <w:rsid w:val="00732052"/>
    <w:rsid w:val="00732D10"/>
    <w:rsid w:val="007333AA"/>
    <w:rsid w:val="00733FAF"/>
    <w:rsid w:val="007357C2"/>
    <w:rsid w:val="00735C05"/>
    <w:rsid w:val="00735D33"/>
    <w:rsid w:val="00735FE0"/>
    <w:rsid w:val="00736A05"/>
    <w:rsid w:val="00736FA9"/>
    <w:rsid w:val="00736FD9"/>
    <w:rsid w:val="00737159"/>
    <w:rsid w:val="00737AA6"/>
    <w:rsid w:val="00740790"/>
    <w:rsid w:val="00741D47"/>
    <w:rsid w:val="0074213E"/>
    <w:rsid w:val="00743A34"/>
    <w:rsid w:val="00744000"/>
    <w:rsid w:val="00744EF4"/>
    <w:rsid w:val="0074523A"/>
    <w:rsid w:val="00745639"/>
    <w:rsid w:val="00745869"/>
    <w:rsid w:val="00745939"/>
    <w:rsid w:val="0074597E"/>
    <w:rsid w:val="00745FF0"/>
    <w:rsid w:val="0074661E"/>
    <w:rsid w:val="00747714"/>
    <w:rsid w:val="0074784E"/>
    <w:rsid w:val="00747A0C"/>
    <w:rsid w:val="00747D65"/>
    <w:rsid w:val="00750D5D"/>
    <w:rsid w:val="007516BF"/>
    <w:rsid w:val="0075239F"/>
    <w:rsid w:val="00752505"/>
    <w:rsid w:val="00752553"/>
    <w:rsid w:val="00752783"/>
    <w:rsid w:val="007529D5"/>
    <w:rsid w:val="00752B03"/>
    <w:rsid w:val="00752C08"/>
    <w:rsid w:val="00752C1D"/>
    <w:rsid w:val="0075320E"/>
    <w:rsid w:val="00753E99"/>
    <w:rsid w:val="00754475"/>
    <w:rsid w:val="0075491B"/>
    <w:rsid w:val="00755603"/>
    <w:rsid w:val="00755C82"/>
    <w:rsid w:val="007567F0"/>
    <w:rsid w:val="00756C31"/>
    <w:rsid w:val="00760896"/>
    <w:rsid w:val="00760899"/>
    <w:rsid w:val="007612A1"/>
    <w:rsid w:val="00762026"/>
    <w:rsid w:val="00762379"/>
    <w:rsid w:val="00762EBC"/>
    <w:rsid w:val="007632CD"/>
    <w:rsid w:val="00763474"/>
    <w:rsid w:val="0076390E"/>
    <w:rsid w:val="00763B8E"/>
    <w:rsid w:val="00763BC3"/>
    <w:rsid w:val="00765B2C"/>
    <w:rsid w:val="007663DA"/>
    <w:rsid w:val="007678FE"/>
    <w:rsid w:val="00770516"/>
    <w:rsid w:val="007729AF"/>
    <w:rsid w:val="00772A16"/>
    <w:rsid w:val="0077329C"/>
    <w:rsid w:val="00774591"/>
    <w:rsid w:val="0077471F"/>
    <w:rsid w:val="00774AED"/>
    <w:rsid w:val="00774CE5"/>
    <w:rsid w:val="0077539B"/>
    <w:rsid w:val="00775B12"/>
    <w:rsid w:val="00776A28"/>
    <w:rsid w:val="00777B03"/>
    <w:rsid w:val="00777E67"/>
    <w:rsid w:val="00777FF7"/>
    <w:rsid w:val="00780779"/>
    <w:rsid w:val="00781777"/>
    <w:rsid w:val="00781B3C"/>
    <w:rsid w:val="00781F48"/>
    <w:rsid w:val="00781F53"/>
    <w:rsid w:val="007822E4"/>
    <w:rsid w:val="00783945"/>
    <w:rsid w:val="00783E67"/>
    <w:rsid w:val="0078515A"/>
    <w:rsid w:val="0078564E"/>
    <w:rsid w:val="00785F6B"/>
    <w:rsid w:val="0078617D"/>
    <w:rsid w:val="00786205"/>
    <w:rsid w:val="007867ED"/>
    <w:rsid w:val="00786806"/>
    <w:rsid w:val="007876B3"/>
    <w:rsid w:val="007905B3"/>
    <w:rsid w:val="007912AE"/>
    <w:rsid w:val="007916F8"/>
    <w:rsid w:val="00791877"/>
    <w:rsid w:val="007922F8"/>
    <w:rsid w:val="007938C5"/>
    <w:rsid w:val="00793BA0"/>
    <w:rsid w:val="007941E4"/>
    <w:rsid w:val="007950F8"/>
    <w:rsid w:val="00795268"/>
    <w:rsid w:val="007976E0"/>
    <w:rsid w:val="007A26D2"/>
    <w:rsid w:val="007A28F0"/>
    <w:rsid w:val="007A2E99"/>
    <w:rsid w:val="007A3D31"/>
    <w:rsid w:val="007A4596"/>
    <w:rsid w:val="007A4B55"/>
    <w:rsid w:val="007A572E"/>
    <w:rsid w:val="007A62C9"/>
    <w:rsid w:val="007A6815"/>
    <w:rsid w:val="007A771B"/>
    <w:rsid w:val="007A7853"/>
    <w:rsid w:val="007A7ABE"/>
    <w:rsid w:val="007A7B5A"/>
    <w:rsid w:val="007A7C2C"/>
    <w:rsid w:val="007B0294"/>
    <w:rsid w:val="007B0E4C"/>
    <w:rsid w:val="007B1B8D"/>
    <w:rsid w:val="007B23E9"/>
    <w:rsid w:val="007B2426"/>
    <w:rsid w:val="007B2D50"/>
    <w:rsid w:val="007B2E5F"/>
    <w:rsid w:val="007B3260"/>
    <w:rsid w:val="007B3669"/>
    <w:rsid w:val="007B4103"/>
    <w:rsid w:val="007B48AE"/>
    <w:rsid w:val="007B48B8"/>
    <w:rsid w:val="007B5D5B"/>
    <w:rsid w:val="007B5E3C"/>
    <w:rsid w:val="007B5EAD"/>
    <w:rsid w:val="007B66A7"/>
    <w:rsid w:val="007B7178"/>
    <w:rsid w:val="007C0325"/>
    <w:rsid w:val="007C08BC"/>
    <w:rsid w:val="007C127E"/>
    <w:rsid w:val="007C2532"/>
    <w:rsid w:val="007C27C4"/>
    <w:rsid w:val="007C4DE1"/>
    <w:rsid w:val="007C5775"/>
    <w:rsid w:val="007C62DD"/>
    <w:rsid w:val="007C6B45"/>
    <w:rsid w:val="007C7A5C"/>
    <w:rsid w:val="007C7E63"/>
    <w:rsid w:val="007D03A2"/>
    <w:rsid w:val="007D0575"/>
    <w:rsid w:val="007D0BB5"/>
    <w:rsid w:val="007D20BA"/>
    <w:rsid w:val="007D299A"/>
    <w:rsid w:val="007D2A6E"/>
    <w:rsid w:val="007D370E"/>
    <w:rsid w:val="007D396D"/>
    <w:rsid w:val="007D3B9C"/>
    <w:rsid w:val="007D3CD7"/>
    <w:rsid w:val="007D3EC0"/>
    <w:rsid w:val="007D433F"/>
    <w:rsid w:val="007D4666"/>
    <w:rsid w:val="007D4D01"/>
    <w:rsid w:val="007D500D"/>
    <w:rsid w:val="007D5059"/>
    <w:rsid w:val="007D5C9B"/>
    <w:rsid w:val="007D657D"/>
    <w:rsid w:val="007D6AC5"/>
    <w:rsid w:val="007D7880"/>
    <w:rsid w:val="007E066D"/>
    <w:rsid w:val="007E087A"/>
    <w:rsid w:val="007E1940"/>
    <w:rsid w:val="007E2100"/>
    <w:rsid w:val="007E2638"/>
    <w:rsid w:val="007E2C87"/>
    <w:rsid w:val="007E2E72"/>
    <w:rsid w:val="007E3BB0"/>
    <w:rsid w:val="007E3DA4"/>
    <w:rsid w:val="007E46A8"/>
    <w:rsid w:val="007E4E51"/>
    <w:rsid w:val="007E4ECD"/>
    <w:rsid w:val="007E4F4B"/>
    <w:rsid w:val="007E52FA"/>
    <w:rsid w:val="007E562B"/>
    <w:rsid w:val="007F0843"/>
    <w:rsid w:val="007F0D94"/>
    <w:rsid w:val="007F1024"/>
    <w:rsid w:val="007F1BDE"/>
    <w:rsid w:val="007F228D"/>
    <w:rsid w:val="007F2319"/>
    <w:rsid w:val="007F50F3"/>
    <w:rsid w:val="007F52A0"/>
    <w:rsid w:val="007F560A"/>
    <w:rsid w:val="00800296"/>
    <w:rsid w:val="00800375"/>
    <w:rsid w:val="0080097F"/>
    <w:rsid w:val="00800A71"/>
    <w:rsid w:val="00800B70"/>
    <w:rsid w:val="0080180F"/>
    <w:rsid w:val="008038BE"/>
    <w:rsid w:val="00803C8E"/>
    <w:rsid w:val="00804570"/>
    <w:rsid w:val="008047AF"/>
    <w:rsid w:val="00804F35"/>
    <w:rsid w:val="00805E96"/>
    <w:rsid w:val="0080638C"/>
    <w:rsid w:val="0081023B"/>
    <w:rsid w:val="00810BCA"/>
    <w:rsid w:val="008123CC"/>
    <w:rsid w:val="00812D5D"/>
    <w:rsid w:val="00813726"/>
    <w:rsid w:val="00813756"/>
    <w:rsid w:val="00815064"/>
    <w:rsid w:val="008200F3"/>
    <w:rsid w:val="00820498"/>
    <w:rsid w:val="00820597"/>
    <w:rsid w:val="00820E20"/>
    <w:rsid w:val="00821985"/>
    <w:rsid w:val="008222D2"/>
    <w:rsid w:val="00822944"/>
    <w:rsid w:val="00823309"/>
    <w:rsid w:val="00823A35"/>
    <w:rsid w:val="00823DDD"/>
    <w:rsid w:val="00825114"/>
    <w:rsid w:val="008251A4"/>
    <w:rsid w:val="008255E5"/>
    <w:rsid w:val="008256E7"/>
    <w:rsid w:val="00825D3F"/>
    <w:rsid w:val="0082603F"/>
    <w:rsid w:val="00826AEA"/>
    <w:rsid w:val="00826D81"/>
    <w:rsid w:val="008274E4"/>
    <w:rsid w:val="00827E68"/>
    <w:rsid w:val="008322E6"/>
    <w:rsid w:val="00832D4E"/>
    <w:rsid w:val="008343CA"/>
    <w:rsid w:val="00834501"/>
    <w:rsid w:val="00834DD1"/>
    <w:rsid w:val="00835143"/>
    <w:rsid w:val="008359BB"/>
    <w:rsid w:val="0083609A"/>
    <w:rsid w:val="0083636A"/>
    <w:rsid w:val="00837A9C"/>
    <w:rsid w:val="00841A0A"/>
    <w:rsid w:val="00841AF2"/>
    <w:rsid w:val="008429E3"/>
    <w:rsid w:val="00842C3F"/>
    <w:rsid w:val="008430C8"/>
    <w:rsid w:val="00844287"/>
    <w:rsid w:val="00844DCD"/>
    <w:rsid w:val="00844F40"/>
    <w:rsid w:val="008451FB"/>
    <w:rsid w:val="00845CD1"/>
    <w:rsid w:val="00846186"/>
    <w:rsid w:val="008463A0"/>
    <w:rsid w:val="00847032"/>
    <w:rsid w:val="00847505"/>
    <w:rsid w:val="008500D5"/>
    <w:rsid w:val="0085031F"/>
    <w:rsid w:val="008505E2"/>
    <w:rsid w:val="00850AA6"/>
    <w:rsid w:val="008513D8"/>
    <w:rsid w:val="00851D25"/>
    <w:rsid w:val="008528B8"/>
    <w:rsid w:val="00853847"/>
    <w:rsid w:val="00854016"/>
    <w:rsid w:val="00854104"/>
    <w:rsid w:val="0085428A"/>
    <w:rsid w:val="00855283"/>
    <w:rsid w:val="00855A44"/>
    <w:rsid w:val="00856C1A"/>
    <w:rsid w:val="00857541"/>
    <w:rsid w:val="008611BE"/>
    <w:rsid w:val="0086120E"/>
    <w:rsid w:val="00861550"/>
    <w:rsid w:val="00861784"/>
    <w:rsid w:val="0086186D"/>
    <w:rsid w:val="00862B02"/>
    <w:rsid w:val="00862F09"/>
    <w:rsid w:val="00863151"/>
    <w:rsid w:val="00863BB5"/>
    <w:rsid w:val="00864353"/>
    <w:rsid w:val="0086458F"/>
    <w:rsid w:val="00864C91"/>
    <w:rsid w:val="0086665D"/>
    <w:rsid w:val="00866A00"/>
    <w:rsid w:val="0087049B"/>
    <w:rsid w:val="00870521"/>
    <w:rsid w:val="00870934"/>
    <w:rsid w:val="0087102C"/>
    <w:rsid w:val="008711B7"/>
    <w:rsid w:val="008714CA"/>
    <w:rsid w:val="00872596"/>
    <w:rsid w:val="00872A62"/>
    <w:rsid w:val="00872C8F"/>
    <w:rsid w:val="008738BB"/>
    <w:rsid w:val="00873E1A"/>
    <w:rsid w:val="008740C4"/>
    <w:rsid w:val="008747EB"/>
    <w:rsid w:val="00874B70"/>
    <w:rsid w:val="008753FF"/>
    <w:rsid w:val="00876116"/>
    <w:rsid w:val="00876692"/>
    <w:rsid w:val="00876AEB"/>
    <w:rsid w:val="00876E05"/>
    <w:rsid w:val="008778F8"/>
    <w:rsid w:val="00877A74"/>
    <w:rsid w:val="00877B6C"/>
    <w:rsid w:val="00880179"/>
    <w:rsid w:val="008819E1"/>
    <w:rsid w:val="00882719"/>
    <w:rsid w:val="008830A5"/>
    <w:rsid w:val="00883802"/>
    <w:rsid w:val="008840A5"/>
    <w:rsid w:val="008846B6"/>
    <w:rsid w:val="00884B68"/>
    <w:rsid w:val="00885F8D"/>
    <w:rsid w:val="008900B9"/>
    <w:rsid w:val="00891456"/>
    <w:rsid w:val="00891C0D"/>
    <w:rsid w:val="00891E6F"/>
    <w:rsid w:val="00892230"/>
    <w:rsid w:val="0089313D"/>
    <w:rsid w:val="008933ED"/>
    <w:rsid w:val="00893659"/>
    <w:rsid w:val="00893BBD"/>
    <w:rsid w:val="00893E10"/>
    <w:rsid w:val="0089432D"/>
    <w:rsid w:val="00894736"/>
    <w:rsid w:val="00894AED"/>
    <w:rsid w:val="00895700"/>
    <w:rsid w:val="00895DD8"/>
    <w:rsid w:val="00895E72"/>
    <w:rsid w:val="008962A7"/>
    <w:rsid w:val="00896713"/>
    <w:rsid w:val="0089689C"/>
    <w:rsid w:val="00896D32"/>
    <w:rsid w:val="00896D68"/>
    <w:rsid w:val="00897032"/>
    <w:rsid w:val="00897930"/>
    <w:rsid w:val="008A0E1A"/>
    <w:rsid w:val="008A0F65"/>
    <w:rsid w:val="008A107E"/>
    <w:rsid w:val="008A14E0"/>
    <w:rsid w:val="008A26EB"/>
    <w:rsid w:val="008A5177"/>
    <w:rsid w:val="008A6026"/>
    <w:rsid w:val="008A6665"/>
    <w:rsid w:val="008A6857"/>
    <w:rsid w:val="008A74BF"/>
    <w:rsid w:val="008A7A4D"/>
    <w:rsid w:val="008A7D17"/>
    <w:rsid w:val="008B0537"/>
    <w:rsid w:val="008B1166"/>
    <w:rsid w:val="008B121E"/>
    <w:rsid w:val="008B1F6F"/>
    <w:rsid w:val="008B2DE2"/>
    <w:rsid w:val="008B3021"/>
    <w:rsid w:val="008B386F"/>
    <w:rsid w:val="008B4BFF"/>
    <w:rsid w:val="008B5126"/>
    <w:rsid w:val="008B5366"/>
    <w:rsid w:val="008B548D"/>
    <w:rsid w:val="008B72A6"/>
    <w:rsid w:val="008B7ACC"/>
    <w:rsid w:val="008C01F2"/>
    <w:rsid w:val="008C0E35"/>
    <w:rsid w:val="008C102A"/>
    <w:rsid w:val="008C1882"/>
    <w:rsid w:val="008C1AC8"/>
    <w:rsid w:val="008C2BDD"/>
    <w:rsid w:val="008C32C8"/>
    <w:rsid w:val="008C32ED"/>
    <w:rsid w:val="008C35B6"/>
    <w:rsid w:val="008C460E"/>
    <w:rsid w:val="008C4D65"/>
    <w:rsid w:val="008C5097"/>
    <w:rsid w:val="008C56F8"/>
    <w:rsid w:val="008C58AE"/>
    <w:rsid w:val="008C6C0B"/>
    <w:rsid w:val="008C71CE"/>
    <w:rsid w:val="008C720B"/>
    <w:rsid w:val="008D0615"/>
    <w:rsid w:val="008D0B1F"/>
    <w:rsid w:val="008D0C30"/>
    <w:rsid w:val="008D1EC2"/>
    <w:rsid w:val="008D2B0D"/>
    <w:rsid w:val="008D367C"/>
    <w:rsid w:val="008D39B3"/>
    <w:rsid w:val="008D44A9"/>
    <w:rsid w:val="008D4B41"/>
    <w:rsid w:val="008D4E2F"/>
    <w:rsid w:val="008D5206"/>
    <w:rsid w:val="008D541E"/>
    <w:rsid w:val="008D58F6"/>
    <w:rsid w:val="008D5F1A"/>
    <w:rsid w:val="008D67B2"/>
    <w:rsid w:val="008D6C3B"/>
    <w:rsid w:val="008D6CE9"/>
    <w:rsid w:val="008D7BBC"/>
    <w:rsid w:val="008D7D49"/>
    <w:rsid w:val="008D7E11"/>
    <w:rsid w:val="008E01B8"/>
    <w:rsid w:val="008E05A8"/>
    <w:rsid w:val="008E05D0"/>
    <w:rsid w:val="008E2223"/>
    <w:rsid w:val="008E2703"/>
    <w:rsid w:val="008E2B96"/>
    <w:rsid w:val="008E2D54"/>
    <w:rsid w:val="008E2DEE"/>
    <w:rsid w:val="008E32E0"/>
    <w:rsid w:val="008E4456"/>
    <w:rsid w:val="008E5766"/>
    <w:rsid w:val="008E5B98"/>
    <w:rsid w:val="008E6319"/>
    <w:rsid w:val="008E6630"/>
    <w:rsid w:val="008E730E"/>
    <w:rsid w:val="008E7E28"/>
    <w:rsid w:val="008E7ED3"/>
    <w:rsid w:val="008F06B8"/>
    <w:rsid w:val="008F0D87"/>
    <w:rsid w:val="008F0D8D"/>
    <w:rsid w:val="008F15BA"/>
    <w:rsid w:val="008F19D5"/>
    <w:rsid w:val="008F1C12"/>
    <w:rsid w:val="008F2E16"/>
    <w:rsid w:val="008F351E"/>
    <w:rsid w:val="008F37F3"/>
    <w:rsid w:val="008F503B"/>
    <w:rsid w:val="008F511E"/>
    <w:rsid w:val="008F579A"/>
    <w:rsid w:val="008F5A37"/>
    <w:rsid w:val="008F6075"/>
    <w:rsid w:val="0090018F"/>
    <w:rsid w:val="00900AF4"/>
    <w:rsid w:val="00901D41"/>
    <w:rsid w:val="009023A1"/>
    <w:rsid w:val="00902F0F"/>
    <w:rsid w:val="00903D11"/>
    <w:rsid w:val="00904865"/>
    <w:rsid w:val="00904955"/>
    <w:rsid w:val="0090512A"/>
    <w:rsid w:val="00905221"/>
    <w:rsid w:val="00906B1E"/>
    <w:rsid w:val="00910475"/>
    <w:rsid w:val="00911229"/>
    <w:rsid w:val="0091324A"/>
    <w:rsid w:val="009138CB"/>
    <w:rsid w:val="00914040"/>
    <w:rsid w:val="00914923"/>
    <w:rsid w:val="0091499C"/>
    <w:rsid w:val="009161F0"/>
    <w:rsid w:val="00916B4D"/>
    <w:rsid w:val="009206DF"/>
    <w:rsid w:val="009213FF"/>
    <w:rsid w:val="00921A5C"/>
    <w:rsid w:val="009227F1"/>
    <w:rsid w:val="009246D0"/>
    <w:rsid w:val="00924BA0"/>
    <w:rsid w:val="00925AC8"/>
    <w:rsid w:val="0092603F"/>
    <w:rsid w:val="009267AD"/>
    <w:rsid w:val="00926D2C"/>
    <w:rsid w:val="00927597"/>
    <w:rsid w:val="00927963"/>
    <w:rsid w:val="00927F8F"/>
    <w:rsid w:val="009301FC"/>
    <w:rsid w:val="00930FAD"/>
    <w:rsid w:val="0093168E"/>
    <w:rsid w:val="00932CA3"/>
    <w:rsid w:val="00932F1E"/>
    <w:rsid w:val="00933618"/>
    <w:rsid w:val="00933C23"/>
    <w:rsid w:val="00934656"/>
    <w:rsid w:val="00935526"/>
    <w:rsid w:val="00935C79"/>
    <w:rsid w:val="00935D10"/>
    <w:rsid w:val="00937089"/>
    <w:rsid w:val="00937882"/>
    <w:rsid w:val="00937E90"/>
    <w:rsid w:val="00937F0D"/>
    <w:rsid w:val="009402C9"/>
    <w:rsid w:val="00941021"/>
    <w:rsid w:val="00941932"/>
    <w:rsid w:val="0094213E"/>
    <w:rsid w:val="0094225B"/>
    <w:rsid w:val="009423D9"/>
    <w:rsid w:val="0094279E"/>
    <w:rsid w:val="009429DC"/>
    <w:rsid w:val="00942A00"/>
    <w:rsid w:val="00945362"/>
    <w:rsid w:val="009458E7"/>
    <w:rsid w:val="00947020"/>
    <w:rsid w:val="0094762A"/>
    <w:rsid w:val="00950467"/>
    <w:rsid w:val="00950AD7"/>
    <w:rsid w:val="0095138F"/>
    <w:rsid w:val="0095175F"/>
    <w:rsid w:val="00951B72"/>
    <w:rsid w:val="009524BA"/>
    <w:rsid w:val="009532D2"/>
    <w:rsid w:val="009537C8"/>
    <w:rsid w:val="00954E92"/>
    <w:rsid w:val="00955677"/>
    <w:rsid w:val="00955BCA"/>
    <w:rsid w:val="00956801"/>
    <w:rsid w:val="00957557"/>
    <w:rsid w:val="009605E1"/>
    <w:rsid w:val="009618C0"/>
    <w:rsid w:val="00961E1C"/>
    <w:rsid w:val="00961EAD"/>
    <w:rsid w:val="00961F57"/>
    <w:rsid w:val="00962556"/>
    <w:rsid w:val="00962886"/>
    <w:rsid w:val="009634FF"/>
    <w:rsid w:val="009641B5"/>
    <w:rsid w:val="0096458E"/>
    <w:rsid w:val="00964908"/>
    <w:rsid w:val="00965623"/>
    <w:rsid w:val="009657B7"/>
    <w:rsid w:val="00965C0A"/>
    <w:rsid w:val="00965FAB"/>
    <w:rsid w:val="009660EB"/>
    <w:rsid w:val="009660FB"/>
    <w:rsid w:val="00967A1E"/>
    <w:rsid w:val="00967C07"/>
    <w:rsid w:val="009705C3"/>
    <w:rsid w:val="00970969"/>
    <w:rsid w:val="00970B81"/>
    <w:rsid w:val="00971265"/>
    <w:rsid w:val="0097127D"/>
    <w:rsid w:val="00972379"/>
    <w:rsid w:val="00973B14"/>
    <w:rsid w:val="00973DA1"/>
    <w:rsid w:val="00974530"/>
    <w:rsid w:val="00974C0A"/>
    <w:rsid w:val="00977490"/>
    <w:rsid w:val="00980BC3"/>
    <w:rsid w:val="00980F11"/>
    <w:rsid w:val="009813F6"/>
    <w:rsid w:val="0098196A"/>
    <w:rsid w:val="00982E52"/>
    <w:rsid w:val="0098300A"/>
    <w:rsid w:val="00983581"/>
    <w:rsid w:val="00983F53"/>
    <w:rsid w:val="00985647"/>
    <w:rsid w:val="00985ACD"/>
    <w:rsid w:val="009865AA"/>
    <w:rsid w:val="00986F59"/>
    <w:rsid w:val="009874DA"/>
    <w:rsid w:val="00987580"/>
    <w:rsid w:val="00987803"/>
    <w:rsid w:val="00987AC1"/>
    <w:rsid w:val="00987B77"/>
    <w:rsid w:val="00990388"/>
    <w:rsid w:val="00990583"/>
    <w:rsid w:val="00990E8F"/>
    <w:rsid w:val="0099166D"/>
    <w:rsid w:val="0099346D"/>
    <w:rsid w:val="009935B1"/>
    <w:rsid w:val="00993A7B"/>
    <w:rsid w:val="00995090"/>
    <w:rsid w:val="009950E4"/>
    <w:rsid w:val="00995430"/>
    <w:rsid w:val="009956E8"/>
    <w:rsid w:val="009958E4"/>
    <w:rsid w:val="00995A61"/>
    <w:rsid w:val="00995A9B"/>
    <w:rsid w:val="00995D3D"/>
    <w:rsid w:val="009969EF"/>
    <w:rsid w:val="00996C56"/>
    <w:rsid w:val="00997321"/>
    <w:rsid w:val="00997BF4"/>
    <w:rsid w:val="00997BF9"/>
    <w:rsid w:val="009A0FEB"/>
    <w:rsid w:val="009A1794"/>
    <w:rsid w:val="009A196C"/>
    <w:rsid w:val="009A2325"/>
    <w:rsid w:val="009A31CB"/>
    <w:rsid w:val="009A320B"/>
    <w:rsid w:val="009A352A"/>
    <w:rsid w:val="009A3CA9"/>
    <w:rsid w:val="009A41DD"/>
    <w:rsid w:val="009A43F6"/>
    <w:rsid w:val="009A45D6"/>
    <w:rsid w:val="009A4879"/>
    <w:rsid w:val="009A54FA"/>
    <w:rsid w:val="009A5A28"/>
    <w:rsid w:val="009A5B72"/>
    <w:rsid w:val="009A5D0C"/>
    <w:rsid w:val="009A609D"/>
    <w:rsid w:val="009A66FB"/>
    <w:rsid w:val="009A6E8D"/>
    <w:rsid w:val="009A78CC"/>
    <w:rsid w:val="009B055D"/>
    <w:rsid w:val="009B076A"/>
    <w:rsid w:val="009B0F5A"/>
    <w:rsid w:val="009B10C1"/>
    <w:rsid w:val="009B2921"/>
    <w:rsid w:val="009B3F08"/>
    <w:rsid w:val="009B40BE"/>
    <w:rsid w:val="009B4B9C"/>
    <w:rsid w:val="009B4E12"/>
    <w:rsid w:val="009B5071"/>
    <w:rsid w:val="009B5516"/>
    <w:rsid w:val="009B58DD"/>
    <w:rsid w:val="009B5D82"/>
    <w:rsid w:val="009B670C"/>
    <w:rsid w:val="009B6F12"/>
    <w:rsid w:val="009B74F6"/>
    <w:rsid w:val="009B7DB6"/>
    <w:rsid w:val="009C00EE"/>
    <w:rsid w:val="009C0E20"/>
    <w:rsid w:val="009C12D4"/>
    <w:rsid w:val="009C19F6"/>
    <w:rsid w:val="009C254A"/>
    <w:rsid w:val="009C2875"/>
    <w:rsid w:val="009C2E18"/>
    <w:rsid w:val="009C37DB"/>
    <w:rsid w:val="009C3AA5"/>
    <w:rsid w:val="009C3F0A"/>
    <w:rsid w:val="009C5A70"/>
    <w:rsid w:val="009C7B50"/>
    <w:rsid w:val="009D074E"/>
    <w:rsid w:val="009D0EE0"/>
    <w:rsid w:val="009D3577"/>
    <w:rsid w:val="009D3617"/>
    <w:rsid w:val="009D46EB"/>
    <w:rsid w:val="009D57F2"/>
    <w:rsid w:val="009D64D1"/>
    <w:rsid w:val="009D66DB"/>
    <w:rsid w:val="009D6C03"/>
    <w:rsid w:val="009D73C5"/>
    <w:rsid w:val="009E0626"/>
    <w:rsid w:val="009E2426"/>
    <w:rsid w:val="009E2D3D"/>
    <w:rsid w:val="009E2EF0"/>
    <w:rsid w:val="009E3626"/>
    <w:rsid w:val="009E3FD6"/>
    <w:rsid w:val="009E433B"/>
    <w:rsid w:val="009E4C78"/>
    <w:rsid w:val="009E5D1F"/>
    <w:rsid w:val="009E64A6"/>
    <w:rsid w:val="009E6B2B"/>
    <w:rsid w:val="009E6D12"/>
    <w:rsid w:val="009E6FC2"/>
    <w:rsid w:val="009E7089"/>
    <w:rsid w:val="009E743E"/>
    <w:rsid w:val="009E7510"/>
    <w:rsid w:val="009F0186"/>
    <w:rsid w:val="009F0408"/>
    <w:rsid w:val="009F0641"/>
    <w:rsid w:val="009F0664"/>
    <w:rsid w:val="009F0839"/>
    <w:rsid w:val="009F095B"/>
    <w:rsid w:val="009F12CD"/>
    <w:rsid w:val="009F19D4"/>
    <w:rsid w:val="009F240C"/>
    <w:rsid w:val="009F2CF5"/>
    <w:rsid w:val="009F30BC"/>
    <w:rsid w:val="009F38E5"/>
    <w:rsid w:val="009F3AE6"/>
    <w:rsid w:val="009F3BA8"/>
    <w:rsid w:val="009F442B"/>
    <w:rsid w:val="009F4530"/>
    <w:rsid w:val="009F5041"/>
    <w:rsid w:val="009F5566"/>
    <w:rsid w:val="009F7144"/>
    <w:rsid w:val="009F7575"/>
    <w:rsid w:val="009F7899"/>
    <w:rsid w:val="009F7C80"/>
    <w:rsid w:val="00A00865"/>
    <w:rsid w:val="00A01264"/>
    <w:rsid w:val="00A01DF4"/>
    <w:rsid w:val="00A02105"/>
    <w:rsid w:val="00A02963"/>
    <w:rsid w:val="00A03491"/>
    <w:rsid w:val="00A040E2"/>
    <w:rsid w:val="00A043E6"/>
    <w:rsid w:val="00A04ECE"/>
    <w:rsid w:val="00A05EBF"/>
    <w:rsid w:val="00A06360"/>
    <w:rsid w:val="00A07449"/>
    <w:rsid w:val="00A078AA"/>
    <w:rsid w:val="00A10075"/>
    <w:rsid w:val="00A1023E"/>
    <w:rsid w:val="00A11837"/>
    <w:rsid w:val="00A12049"/>
    <w:rsid w:val="00A1214A"/>
    <w:rsid w:val="00A12B70"/>
    <w:rsid w:val="00A12F87"/>
    <w:rsid w:val="00A13340"/>
    <w:rsid w:val="00A13D0B"/>
    <w:rsid w:val="00A146D5"/>
    <w:rsid w:val="00A14769"/>
    <w:rsid w:val="00A1686E"/>
    <w:rsid w:val="00A20D05"/>
    <w:rsid w:val="00A22CCB"/>
    <w:rsid w:val="00A2435C"/>
    <w:rsid w:val="00A24CB8"/>
    <w:rsid w:val="00A25384"/>
    <w:rsid w:val="00A2624C"/>
    <w:rsid w:val="00A2661F"/>
    <w:rsid w:val="00A26AA1"/>
    <w:rsid w:val="00A27930"/>
    <w:rsid w:val="00A27FE0"/>
    <w:rsid w:val="00A3011B"/>
    <w:rsid w:val="00A302CF"/>
    <w:rsid w:val="00A3120A"/>
    <w:rsid w:val="00A317F2"/>
    <w:rsid w:val="00A31D30"/>
    <w:rsid w:val="00A33002"/>
    <w:rsid w:val="00A330A8"/>
    <w:rsid w:val="00A338EA"/>
    <w:rsid w:val="00A33C14"/>
    <w:rsid w:val="00A3424E"/>
    <w:rsid w:val="00A3516F"/>
    <w:rsid w:val="00A3531D"/>
    <w:rsid w:val="00A358DD"/>
    <w:rsid w:val="00A35A8D"/>
    <w:rsid w:val="00A3620D"/>
    <w:rsid w:val="00A36467"/>
    <w:rsid w:val="00A366DC"/>
    <w:rsid w:val="00A36D67"/>
    <w:rsid w:val="00A40668"/>
    <w:rsid w:val="00A40888"/>
    <w:rsid w:val="00A40D39"/>
    <w:rsid w:val="00A416A1"/>
    <w:rsid w:val="00A41895"/>
    <w:rsid w:val="00A419CC"/>
    <w:rsid w:val="00A41A19"/>
    <w:rsid w:val="00A42723"/>
    <w:rsid w:val="00A428D9"/>
    <w:rsid w:val="00A42C87"/>
    <w:rsid w:val="00A4349F"/>
    <w:rsid w:val="00A458DB"/>
    <w:rsid w:val="00A45A3C"/>
    <w:rsid w:val="00A46AD9"/>
    <w:rsid w:val="00A46AEA"/>
    <w:rsid w:val="00A46E99"/>
    <w:rsid w:val="00A47652"/>
    <w:rsid w:val="00A4767F"/>
    <w:rsid w:val="00A478C9"/>
    <w:rsid w:val="00A500B0"/>
    <w:rsid w:val="00A50152"/>
    <w:rsid w:val="00A510EB"/>
    <w:rsid w:val="00A513EF"/>
    <w:rsid w:val="00A519F6"/>
    <w:rsid w:val="00A526FA"/>
    <w:rsid w:val="00A52941"/>
    <w:rsid w:val="00A52DFF"/>
    <w:rsid w:val="00A53A60"/>
    <w:rsid w:val="00A53C5C"/>
    <w:rsid w:val="00A53E85"/>
    <w:rsid w:val="00A56D7D"/>
    <w:rsid w:val="00A601F3"/>
    <w:rsid w:val="00A607C9"/>
    <w:rsid w:val="00A60AAB"/>
    <w:rsid w:val="00A60B4A"/>
    <w:rsid w:val="00A60CDE"/>
    <w:rsid w:val="00A615DC"/>
    <w:rsid w:val="00A62D2F"/>
    <w:rsid w:val="00A64372"/>
    <w:rsid w:val="00A645B8"/>
    <w:rsid w:val="00A65C1D"/>
    <w:rsid w:val="00A65F28"/>
    <w:rsid w:val="00A65FC9"/>
    <w:rsid w:val="00A6654F"/>
    <w:rsid w:val="00A66DAB"/>
    <w:rsid w:val="00A67636"/>
    <w:rsid w:val="00A67655"/>
    <w:rsid w:val="00A70010"/>
    <w:rsid w:val="00A703DE"/>
    <w:rsid w:val="00A70B16"/>
    <w:rsid w:val="00A70F8B"/>
    <w:rsid w:val="00A71572"/>
    <w:rsid w:val="00A71A23"/>
    <w:rsid w:val="00A71E42"/>
    <w:rsid w:val="00A7245C"/>
    <w:rsid w:val="00A72854"/>
    <w:rsid w:val="00A72B17"/>
    <w:rsid w:val="00A739E8"/>
    <w:rsid w:val="00A73A0C"/>
    <w:rsid w:val="00A7465E"/>
    <w:rsid w:val="00A74826"/>
    <w:rsid w:val="00A74903"/>
    <w:rsid w:val="00A74D57"/>
    <w:rsid w:val="00A74DE6"/>
    <w:rsid w:val="00A753FA"/>
    <w:rsid w:val="00A75F01"/>
    <w:rsid w:val="00A76625"/>
    <w:rsid w:val="00A77492"/>
    <w:rsid w:val="00A7759B"/>
    <w:rsid w:val="00A814C4"/>
    <w:rsid w:val="00A8364A"/>
    <w:rsid w:val="00A836CB"/>
    <w:rsid w:val="00A83935"/>
    <w:rsid w:val="00A84052"/>
    <w:rsid w:val="00A84119"/>
    <w:rsid w:val="00A843D8"/>
    <w:rsid w:val="00A8521A"/>
    <w:rsid w:val="00A8551F"/>
    <w:rsid w:val="00A85DF7"/>
    <w:rsid w:val="00A86493"/>
    <w:rsid w:val="00A87265"/>
    <w:rsid w:val="00A87677"/>
    <w:rsid w:val="00A87C30"/>
    <w:rsid w:val="00A90323"/>
    <w:rsid w:val="00A915AB"/>
    <w:rsid w:val="00A91A3E"/>
    <w:rsid w:val="00A926E6"/>
    <w:rsid w:val="00A92ED7"/>
    <w:rsid w:val="00A9456A"/>
    <w:rsid w:val="00A94CD5"/>
    <w:rsid w:val="00A94D67"/>
    <w:rsid w:val="00A9582D"/>
    <w:rsid w:val="00A95835"/>
    <w:rsid w:val="00A95996"/>
    <w:rsid w:val="00A96198"/>
    <w:rsid w:val="00A96963"/>
    <w:rsid w:val="00A96DFB"/>
    <w:rsid w:val="00A97A58"/>
    <w:rsid w:val="00A97E9F"/>
    <w:rsid w:val="00AA06B0"/>
    <w:rsid w:val="00AA071F"/>
    <w:rsid w:val="00AA0AE5"/>
    <w:rsid w:val="00AA0B61"/>
    <w:rsid w:val="00AA16C2"/>
    <w:rsid w:val="00AA1B8F"/>
    <w:rsid w:val="00AA34D1"/>
    <w:rsid w:val="00AA3C39"/>
    <w:rsid w:val="00AA4031"/>
    <w:rsid w:val="00AA4C55"/>
    <w:rsid w:val="00AA613E"/>
    <w:rsid w:val="00AA6EBE"/>
    <w:rsid w:val="00AA785A"/>
    <w:rsid w:val="00AB101E"/>
    <w:rsid w:val="00AB14A1"/>
    <w:rsid w:val="00AB157A"/>
    <w:rsid w:val="00AB21A6"/>
    <w:rsid w:val="00AB2340"/>
    <w:rsid w:val="00AB268A"/>
    <w:rsid w:val="00AB451B"/>
    <w:rsid w:val="00AB507F"/>
    <w:rsid w:val="00AB5591"/>
    <w:rsid w:val="00AB6509"/>
    <w:rsid w:val="00AB6542"/>
    <w:rsid w:val="00AB66AC"/>
    <w:rsid w:val="00AC0434"/>
    <w:rsid w:val="00AC1447"/>
    <w:rsid w:val="00AC1BD1"/>
    <w:rsid w:val="00AC2223"/>
    <w:rsid w:val="00AC2955"/>
    <w:rsid w:val="00AC2F06"/>
    <w:rsid w:val="00AC3021"/>
    <w:rsid w:val="00AC3103"/>
    <w:rsid w:val="00AC3CE3"/>
    <w:rsid w:val="00AC47C6"/>
    <w:rsid w:val="00AC5236"/>
    <w:rsid w:val="00AC7441"/>
    <w:rsid w:val="00AD0133"/>
    <w:rsid w:val="00AD027C"/>
    <w:rsid w:val="00AD09FD"/>
    <w:rsid w:val="00AD0AF2"/>
    <w:rsid w:val="00AD16D0"/>
    <w:rsid w:val="00AD249D"/>
    <w:rsid w:val="00AD32DF"/>
    <w:rsid w:val="00AD40A0"/>
    <w:rsid w:val="00AD496D"/>
    <w:rsid w:val="00AD4C6A"/>
    <w:rsid w:val="00AD52BA"/>
    <w:rsid w:val="00AD5B2E"/>
    <w:rsid w:val="00AD606A"/>
    <w:rsid w:val="00AD61F8"/>
    <w:rsid w:val="00AD719A"/>
    <w:rsid w:val="00AD77FD"/>
    <w:rsid w:val="00AE00B6"/>
    <w:rsid w:val="00AE0FF1"/>
    <w:rsid w:val="00AE14F2"/>
    <w:rsid w:val="00AE2776"/>
    <w:rsid w:val="00AE2DFB"/>
    <w:rsid w:val="00AE309D"/>
    <w:rsid w:val="00AE39FC"/>
    <w:rsid w:val="00AE3D41"/>
    <w:rsid w:val="00AE410D"/>
    <w:rsid w:val="00AE428B"/>
    <w:rsid w:val="00AE44D1"/>
    <w:rsid w:val="00AE45EF"/>
    <w:rsid w:val="00AE481D"/>
    <w:rsid w:val="00AE4961"/>
    <w:rsid w:val="00AE4A6C"/>
    <w:rsid w:val="00AE4BFE"/>
    <w:rsid w:val="00AE50E0"/>
    <w:rsid w:val="00AE5678"/>
    <w:rsid w:val="00AE5869"/>
    <w:rsid w:val="00AE690B"/>
    <w:rsid w:val="00AE74BE"/>
    <w:rsid w:val="00AE7CCF"/>
    <w:rsid w:val="00AF011A"/>
    <w:rsid w:val="00AF0417"/>
    <w:rsid w:val="00AF0816"/>
    <w:rsid w:val="00AF0B34"/>
    <w:rsid w:val="00AF36EF"/>
    <w:rsid w:val="00AF43A7"/>
    <w:rsid w:val="00AF4F47"/>
    <w:rsid w:val="00AF58F9"/>
    <w:rsid w:val="00AF6509"/>
    <w:rsid w:val="00AF6510"/>
    <w:rsid w:val="00AF700B"/>
    <w:rsid w:val="00AF7175"/>
    <w:rsid w:val="00AF72AF"/>
    <w:rsid w:val="00AF7CB3"/>
    <w:rsid w:val="00B00589"/>
    <w:rsid w:val="00B00863"/>
    <w:rsid w:val="00B00C4C"/>
    <w:rsid w:val="00B020F8"/>
    <w:rsid w:val="00B032BA"/>
    <w:rsid w:val="00B03904"/>
    <w:rsid w:val="00B0444B"/>
    <w:rsid w:val="00B04847"/>
    <w:rsid w:val="00B051E7"/>
    <w:rsid w:val="00B05867"/>
    <w:rsid w:val="00B06542"/>
    <w:rsid w:val="00B06924"/>
    <w:rsid w:val="00B06AE7"/>
    <w:rsid w:val="00B076B3"/>
    <w:rsid w:val="00B07DA1"/>
    <w:rsid w:val="00B103CE"/>
    <w:rsid w:val="00B105F5"/>
    <w:rsid w:val="00B10DA1"/>
    <w:rsid w:val="00B10E24"/>
    <w:rsid w:val="00B12501"/>
    <w:rsid w:val="00B139C1"/>
    <w:rsid w:val="00B139FF"/>
    <w:rsid w:val="00B13BEA"/>
    <w:rsid w:val="00B13DA4"/>
    <w:rsid w:val="00B140A2"/>
    <w:rsid w:val="00B141DF"/>
    <w:rsid w:val="00B14CC0"/>
    <w:rsid w:val="00B14E49"/>
    <w:rsid w:val="00B155B7"/>
    <w:rsid w:val="00B158FA"/>
    <w:rsid w:val="00B15922"/>
    <w:rsid w:val="00B15A99"/>
    <w:rsid w:val="00B15F05"/>
    <w:rsid w:val="00B160CD"/>
    <w:rsid w:val="00B1652C"/>
    <w:rsid w:val="00B1768A"/>
    <w:rsid w:val="00B200A9"/>
    <w:rsid w:val="00B202DB"/>
    <w:rsid w:val="00B2113C"/>
    <w:rsid w:val="00B21A7B"/>
    <w:rsid w:val="00B21B6F"/>
    <w:rsid w:val="00B21FD6"/>
    <w:rsid w:val="00B22ADA"/>
    <w:rsid w:val="00B22CB5"/>
    <w:rsid w:val="00B237FF"/>
    <w:rsid w:val="00B23CB2"/>
    <w:rsid w:val="00B25443"/>
    <w:rsid w:val="00B2573D"/>
    <w:rsid w:val="00B262B8"/>
    <w:rsid w:val="00B264C3"/>
    <w:rsid w:val="00B271BD"/>
    <w:rsid w:val="00B273A1"/>
    <w:rsid w:val="00B278F5"/>
    <w:rsid w:val="00B301D2"/>
    <w:rsid w:val="00B312DB"/>
    <w:rsid w:val="00B31438"/>
    <w:rsid w:val="00B319C5"/>
    <w:rsid w:val="00B31CD5"/>
    <w:rsid w:val="00B341C2"/>
    <w:rsid w:val="00B34441"/>
    <w:rsid w:val="00B344E5"/>
    <w:rsid w:val="00B35599"/>
    <w:rsid w:val="00B356A2"/>
    <w:rsid w:val="00B36066"/>
    <w:rsid w:val="00B36531"/>
    <w:rsid w:val="00B36B5B"/>
    <w:rsid w:val="00B40191"/>
    <w:rsid w:val="00B418EF"/>
    <w:rsid w:val="00B42580"/>
    <w:rsid w:val="00B42853"/>
    <w:rsid w:val="00B43C81"/>
    <w:rsid w:val="00B43F6D"/>
    <w:rsid w:val="00B44B39"/>
    <w:rsid w:val="00B44C2A"/>
    <w:rsid w:val="00B45827"/>
    <w:rsid w:val="00B461B1"/>
    <w:rsid w:val="00B4695E"/>
    <w:rsid w:val="00B46A50"/>
    <w:rsid w:val="00B46BB4"/>
    <w:rsid w:val="00B46DD9"/>
    <w:rsid w:val="00B470C3"/>
    <w:rsid w:val="00B47457"/>
    <w:rsid w:val="00B47BF1"/>
    <w:rsid w:val="00B47EB5"/>
    <w:rsid w:val="00B5131B"/>
    <w:rsid w:val="00B51AF3"/>
    <w:rsid w:val="00B52569"/>
    <w:rsid w:val="00B53923"/>
    <w:rsid w:val="00B54359"/>
    <w:rsid w:val="00B54BCD"/>
    <w:rsid w:val="00B54E0A"/>
    <w:rsid w:val="00B55125"/>
    <w:rsid w:val="00B56D15"/>
    <w:rsid w:val="00B56FDC"/>
    <w:rsid w:val="00B5758E"/>
    <w:rsid w:val="00B57BD6"/>
    <w:rsid w:val="00B57D5B"/>
    <w:rsid w:val="00B60BC2"/>
    <w:rsid w:val="00B6118B"/>
    <w:rsid w:val="00B61D97"/>
    <w:rsid w:val="00B61E7B"/>
    <w:rsid w:val="00B63FA2"/>
    <w:rsid w:val="00B642DC"/>
    <w:rsid w:val="00B6456E"/>
    <w:rsid w:val="00B6478C"/>
    <w:rsid w:val="00B6598F"/>
    <w:rsid w:val="00B66422"/>
    <w:rsid w:val="00B66A0D"/>
    <w:rsid w:val="00B66D66"/>
    <w:rsid w:val="00B67130"/>
    <w:rsid w:val="00B675DD"/>
    <w:rsid w:val="00B70166"/>
    <w:rsid w:val="00B703D8"/>
    <w:rsid w:val="00B70B22"/>
    <w:rsid w:val="00B71FC9"/>
    <w:rsid w:val="00B72C6A"/>
    <w:rsid w:val="00B73298"/>
    <w:rsid w:val="00B73A2D"/>
    <w:rsid w:val="00B7473F"/>
    <w:rsid w:val="00B74F4F"/>
    <w:rsid w:val="00B7527C"/>
    <w:rsid w:val="00B75BB9"/>
    <w:rsid w:val="00B761C8"/>
    <w:rsid w:val="00B77022"/>
    <w:rsid w:val="00B777EF"/>
    <w:rsid w:val="00B77A9C"/>
    <w:rsid w:val="00B77AD8"/>
    <w:rsid w:val="00B80195"/>
    <w:rsid w:val="00B80C81"/>
    <w:rsid w:val="00B811FC"/>
    <w:rsid w:val="00B81502"/>
    <w:rsid w:val="00B826F3"/>
    <w:rsid w:val="00B8327E"/>
    <w:rsid w:val="00B8450F"/>
    <w:rsid w:val="00B8485D"/>
    <w:rsid w:val="00B84A3F"/>
    <w:rsid w:val="00B84F10"/>
    <w:rsid w:val="00B857B2"/>
    <w:rsid w:val="00B859C7"/>
    <w:rsid w:val="00B85AE9"/>
    <w:rsid w:val="00B85BAA"/>
    <w:rsid w:val="00B85C28"/>
    <w:rsid w:val="00B85EDD"/>
    <w:rsid w:val="00B8612D"/>
    <w:rsid w:val="00B86812"/>
    <w:rsid w:val="00B87111"/>
    <w:rsid w:val="00B87331"/>
    <w:rsid w:val="00B8761F"/>
    <w:rsid w:val="00B87A73"/>
    <w:rsid w:val="00B91263"/>
    <w:rsid w:val="00B9187A"/>
    <w:rsid w:val="00B91958"/>
    <w:rsid w:val="00B92313"/>
    <w:rsid w:val="00B92352"/>
    <w:rsid w:val="00B92538"/>
    <w:rsid w:val="00B92EF2"/>
    <w:rsid w:val="00B9324E"/>
    <w:rsid w:val="00B93828"/>
    <w:rsid w:val="00B96133"/>
    <w:rsid w:val="00B96AAA"/>
    <w:rsid w:val="00B96B32"/>
    <w:rsid w:val="00B97250"/>
    <w:rsid w:val="00B978A0"/>
    <w:rsid w:val="00B9796D"/>
    <w:rsid w:val="00BA0035"/>
    <w:rsid w:val="00BA02EC"/>
    <w:rsid w:val="00BA0445"/>
    <w:rsid w:val="00BA19E7"/>
    <w:rsid w:val="00BA230A"/>
    <w:rsid w:val="00BA2AE1"/>
    <w:rsid w:val="00BA421A"/>
    <w:rsid w:val="00BA50B4"/>
    <w:rsid w:val="00BA50D2"/>
    <w:rsid w:val="00BA5426"/>
    <w:rsid w:val="00BA5E29"/>
    <w:rsid w:val="00BA5E3D"/>
    <w:rsid w:val="00BA600A"/>
    <w:rsid w:val="00BA6534"/>
    <w:rsid w:val="00BA750F"/>
    <w:rsid w:val="00BB027A"/>
    <w:rsid w:val="00BB0602"/>
    <w:rsid w:val="00BB10BE"/>
    <w:rsid w:val="00BB12D8"/>
    <w:rsid w:val="00BB2860"/>
    <w:rsid w:val="00BB3224"/>
    <w:rsid w:val="00BB34DA"/>
    <w:rsid w:val="00BB382A"/>
    <w:rsid w:val="00BB411E"/>
    <w:rsid w:val="00BB435F"/>
    <w:rsid w:val="00BB4989"/>
    <w:rsid w:val="00BB50AA"/>
    <w:rsid w:val="00BB50B7"/>
    <w:rsid w:val="00BB54BF"/>
    <w:rsid w:val="00BB58B3"/>
    <w:rsid w:val="00BB5C67"/>
    <w:rsid w:val="00BB615B"/>
    <w:rsid w:val="00BB6CDB"/>
    <w:rsid w:val="00BB780E"/>
    <w:rsid w:val="00BB7A07"/>
    <w:rsid w:val="00BB7A77"/>
    <w:rsid w:val="00BC017F"/>
    <w:rsid w:val="00BC046D"/>
    <w:rsid w:val="00BC0570"/>
    <w:rsid w:val="00BC082A"/>
    <w:rsid w:val="00BC0B6E"/>
    <w:rsid w:val="00BC0C32"/>
    <w:rsid w:val="00BC0C41"/>
    <w:rsid w:val="00BC13B0"/>
    <w:rsid w:val="00BC17E2"/>
    <w:rsid w:val="00BC2039"/>
    <w:rsid w:val="00BC2097"/>
    <w:rsid w:val="00BC29A7"/>
    <w:rsid w:val="00BC340B"/>
    <w:rsid w:val="00BC4972"/>
    <w:rsid w:val="00BC50AF"/>
    <w:rsid w:val="00BC580E"/>
    <w:rsid w:val="00BC6226"/>
    <w:rsid w:val="00BC6236"/>
    <w:rsid w:val="00BC6F55"/>
    <w:rsid w:val="00BC765E"/>
    <w:rsid w:val="00BC7B28"/>
    <w:rsid w:val="00BC7F00"/>
    <w:rsid w:val="00BD0B54"/>
    <w:rsid w:val="00BD13A5"/>
    <w:rsid w:val="00BD1A61"/>
    <w:rsid w:val="00BD1A83"/>
    <w:rsid w:val="00BD2462"/>
    <w:rsid w:val="00BD29D8"/>
    <w:rsid w:val="00BD2EA6"/>
    <w:rsid w:val="00BD4DC4"/>
    <w:rsid w:val="00BD529E"/>
    <w:rsid w:val="00BD6B0E"/>
    <w:rsid w:val="00BD72E0"/>
    <w:rsid w:val="00BE008B"/>
    <w:rsid w:val="00BE0703"/>
    <w:rsid w:val="00BE19A9"/>
    <w:rsid w:val="00BE263C"/>
    <w:rsid w:val="00BE27CF"/>
    <w:rsid w:val="00BE2C47"/>
    <w:rsid w:val="00BE3FE7"/>
    <w:rsid w:val="00BE4C8F"/>
    <w:rsid w:val="00BE5040"/>
    <w:rsid w:val="00BE5D94"/>
    <w:rsid w:val="00BE6595"/>
    <w:rsid w:val="00BE6599"/>
    <w:rsid w:val="00BE68D9"/>
    <w:rsid w:val="00BE6B95"/>
    <w:rsid w:val="00BF0185"/>
    <w:rsid w:val="00BF1444"/>
    <w:rsid w:val="00BF156C"/>
    <w:rsid w:val="00BF28FE"/>
    <w:rsid w:val="00BF2F4F"/>
    <w:rsid w:val="00BF30C5"/>
    <w:rsid w:val="00BF3A74"/>
    <w:rsid w:val="00BF3C8E"/>
    <w:rsid w:val="00BF4BFC"/>
    <w:rsid w:val="00BF4D59"/>
    <w:rsid w:val="00BF596A"/>
    <w:rsid w:val="00BF59C5"/>
    <w:rsid w:val="00BF5FBD"/>
    <w:rsid w:val="00BF774E"/>
    <w:rsid w:val="00C0015A"/>
    <w:rsid w:val="00C005A0"/>
    <w:rsid w:val="00C00BD7"/>
    <w:rsid w:val="00C014E1"/>
    <w:rsid w:val="00C022C7"/>
    <w:rsid w:val="00C02649"/>
    <w:rsid w:val="00C0297F"/>
    <w:rsid w:val="00C02C07"/>
    <w:rsid w:val="00C03AB9"/>
    <w:rsid w:val="00C0423D"/>
    <w:rsid w:val="00C04674"/>
    <w:rsid w:val="00C05ABF"/>
    <w:rsid w:val="00C07082"/>
    <w:rsid w:val="00C07F21"/>
    <w:rsid w:val="00C104F4"/>
    <w:rsid w:val="00C11008"/>
    <w:rsid w:val="00C110A3"/>
    <w:rsid w:val="00C11B0B"/>
    <w:rsid w:val="00C12EF4"/>
    <w:rsid w:val="00C136EC"/>
    <w:rsid w:val="00C143A1"/>
    <w:rsid w:val="00C15122"/>
    <w:rsid w:val="00C152E0"/>
    <w:rsid w:val="00C15433"/>
    <w:rsid w:val="00C15AAC"/>
    <w:rsid w:val="00C16D45"/>
    <w:rsid w:val="00C17CFE"/>
    <w:rsid w:val="00C2038E"/>
    <w:rsid w:val="00C20EB9"/>
    <w:rsid w:val="00C212A6"/>
    <w:rsid w:val="00C212B8"/>
    <w:rsid w:val="00C21DF9"/>
    <w:rsid w:val="00C22468"/>
    <w:rsid w:val="00C22706"/>
    <w:rsid w:val="00C23247"/>
    <w:rsid w:val="00C232C9"/>
    <w:rsid w:val="00C23436"/>
    <w:rsid w:val="00C23694"/>
    <w:rsid w:val="00C24345"/>
    <w:rsid w:val="00C249E6"/>
    <w:rsid w:val="00C24BC1"/>
    <w:rsid w:val="00C26159"/>
    <w:rsid w:val="00C2623F"/>
    <w:rsid w:val="00C26271"/>
    <w:rsid w:val="00C26A47"/>
    <w:rsid w:val="00C26AAA"/>
    <w:rsid w:val="00C27009"/>
    <w:rsid w:val="00C27EBA"/>
    <w:rsid w:val="00C30D61"/>
    <w:rsid w:val="00C30D78"/>
    <w:rsid w:val="00C30EF9"/>
    <w:rsid w:val="00C31297"/>
    <w:rsid w:val="00C31448"/>
    <w:rsid w:val="00C318FD"/>
    <w:rsid w:val="00C32F64"/>
    <w:rsid w:val="00C36D9B"/>
    <w:rsid w:val="00C36E4E"/>
    <w:rsid w:val="00C36F8A"/>
    <w:rsid w:val="00C37384"/>
    <w:rsid w:val="00C4003B"/>
    <w:rsid w:val="00C417FB"/>
    <w:rsid w:val="00C41AA3"/>
    <w:rsid w:val="00C42341"/>
    <w:rsid w:val="00C4275F"/>
    <w:rsid w:val="00C431BE"/>
    <w:rsid w:val="00C434C6"/>
    <w:rsid w:val="00C439BD"/>
    <w:rsid w:val="00C45D53"/>
    <w:rsid w:val="00C45FBD"/>
    <w:rsid w:val="00C47263"/>
    <w:rsid w:val="00C50746"/>
    <w:rsid w:val="00C50CD4"/>
    <w:rsid w:val="00C50D19"/>
    <w:rsid w:val="00C51392"/>
    <w:rsid w:val="00C51BB7"/>
    <w:rsid w:val="00C51DB2"/>
    <w:rsid w:val="00C52007"/>
    <w:rsid w:val="00C52B64"/>
    <w:rsid w:val="00C52BB8"/>
    <w:rsid w:val="00C52D43"/>
    <w:rsid w:val="00C537C5"/>
    <w:rsid w:val="00C539AE"/>
    <w:rsid w:val="00C565D9"/>
    <w:rsid w:val="00C56BA1"/>
    <w:rsid w:val="00C57E97"/>
    <w:rsid w:val="00C616D0"/>
    <w:rsid w:val="00C62FAA"/>
    <w:rsid w:val="00C6315D"/>
    <w:rsid w:val="00C63AD4"/>
    <w:rsid w:val="00C63B4C"/>
    <w:rsid w:val="00C641CA"/>
    <w:rsid w:val="00C65563"/>
    <w:rsid w:val="00C666CA"/>
    <w:rsid w:val="00C707EE"/>
    <w:rsid w:val="00C70924"/>
    <w:rsid w:val="00C70F16"/>
    <w:rsid w:val="00C722E2"/>
    <w:rsid w:val="00C727EE"/>
    <w:rsid w:val="00C73358"/>
    <w:rsid w:val="00C73CB2"/>
    <w:rsid w:val="00C73E61"/>
    <w:rsid w:val="00C74AD8"/>
    <w:rsid w:val="00C75360"/>
    <w:rsid w:val="00C754FA"/>
    <w:rsid w:val="00C75651"/>
    <w:rsid w:val="00C75A37"/>
    <w:rsid w:val="00C7739C"/>
    <w:rsid w:val="00C774A6"/>
    <w:rsid w:val="00C77C9D"/>
    <w:rsid w:val="00C81277"/>
    <w:rsid w:val="00C823DC"/>
    <w:rsid w:val="00C82D34"/>
    <w:rsid w:val="00C84DC9"/>
    <w:rsid w:val="00C86F8E"/>
    <w:rsid w:val="00C87A09"/>
    <w:rsid w:val="00C90444"/>
    <w:rsid w:val="00C90AC5"/>
    <w:rsid w:val="00C92270"/>
    <w:rsid w:val="00C92480"/>
    <w:rsid w:val="00C93369"/>
    <w:rsid w:val="00C93651"/>
    <w:rsid w:val="00C9371A"/>
    <w:rsid w:val="00C93D73"/>
    <w:rsid w:val="00C945E3"/>
    <w:rsid w:val="00C94CFF"/>
    <w:rsid w:val="00C95037"/>
    <w:rsid w:val="00C958C3"/>
    <w:rsid w:val="00C95C60"/>
    <w:rsid w:val="00C968C7"/>
    <w:rsid w:val="00C96D47"/>
    <w:rsid w:val="00C972F5"/>
    <w:rsid w:val="00C97D58"/>
    <w:rsid w:val="00C97D88"/>
    <w:rsid w:val="00C97D91"/>
    <w:rsid w:val="00CA0E00"/>
    <w:rsid w:val="00CA1A02"/>
    <w:rsid w:val="00CA1A3B"/>
    <w:rsid w:val="00CA1B01"/>
    <w:rsid w:val="00CA1D9C"/>
    <w:rsid w:val="00CA2038"/>
    <w:rsid w:val="00CA2080"/>
    <w:rsid w:val="00CA2249"/>
    <w:rsid w:val="00CA24B5"/>
    <w:rsid w:val="00CA24F4"/>
    <w:rsid w:val="00CA26D8"/>
    <w:rsid w:val="00CA28BC"/>
    <w:rsid w:val="00CA2C51"/>
    <w:rsid w:val="00CA3909"/>
    <w:rsid w:val="00CA44F1"/>
    <w:rsid w:val="00CA6910"/>
    <w:rsid w:val="00CA69BE"/>
    <w:rsid w:val="00CA6ADC"/>
    <w:rsid w:val="00CA6E3D"/>
    <w:rsid w:val="00CA72A3"/>
    <w:rsid w:val="00CA7CE4"/>
    <w:rsid w:val="00CB06D5"/>
    <w:rsid w:val="00CB0BC3"/>
    <w:rsid w:val="00CB0BE6"/>
    <w:rsid w:val="00CB295E"/>
    <w:rsid w:val="00CB2E33"/>
    <w:rsid w:val="00CB2FCF"/>
    <w:rsid w:val="00CB428E"/>
    <w:rsid w:val="00CB499D"/>
    <w:rsid w:val="00CB4E0C"/>
    <w:rsid w:val="00CB54F6"/>
    <w:rsid w:val="00CB5619"/>
    <w:rsid w:val="00CB5880"/>
    <w:rsid w:val="00CB5D73"/>
    <w:rsid w:val="00CB664A"/>
    <w:rsid w:val="00CB6A67"/>
    <w:rsid w:val="00CB6C79"/>
    <w:rsid w:val="00CB717C"/>
    <w:rsid w:val="00CB7E84"/>
    <w:rsid w:val="00CC007F"/>
    <w:rsid w:val="00CC0AAD"/>
    <w:rsid w:val="00CC0C32"/>
    <w:rsid w:val="00CC0F03"/>
    <w:rsid w:val="00CC1550"/>
    <w:rsid w:val="00CC1760"/>
    <w:rsid w:val="00CC1FE3"/>
    <w:rsid w:val="00CC210A"/>
    <w:rsid w:val="00CC31A7"/>
    <w:rsid w:val="00CC39BF"/>
    <w:rsid w:val="00CC3A48"/>
    <w:rsid w:val="00CC3CDA"/>
    <w:rsid w:val="00CC4DD6"/>
    <w:rsid w:val="00CC50DA"/>
    <w:rsid w:val="00CC5A84"/>
    <w:rsid w:val="00CC5E89"/>
    <w:rsid w:val="00CC636F"/>
    <w:rsid w:val="00CC7203"/>
    <w:rsid w:val="00CD2E78"/>
    <w:rsid w:val="00CD310A"/>
    <w:rsid w:val="00CD5567"/>
    <w:rsid w:val="00CD5664"/>
    <w:rsid w:val="00CD5EEF"/>
    <w:rsid w:val="00CD65C6"/>
    <w:rsid w:val="00CD70A2"/>
    <w:rsid w:val="00CD7513"/>
    <w:rsid w:val="00CD7A79"/>
    <w:rsid w:val="00CE141F"/>
    <w:rsid w:val="00CE164F"/>
    <w:rsid w:val="00CE171D"/>
    <w:rsid w:val="00CE19C9"/>
    <w:rsid w:val="00CE1BE6"/>
    <w:rsid w:val="00CE1D01"/>
    <w:rsid w:val="00CE24AF"/>
    <w:rsid w:val="00CE36F4"/>
    <w:rsid w:val="00CE406A"/>
    <w:rsid w:val="00CE498D"/>
    <w:rsid w:val="00CE4B47"/>
    <w:rsid w:val="00CE53A5"/>
    <w:rsid w:val="00CE5B3C"/>
    <w:rsid w:val="00CE63F3"/>
    <w:rsid w:val="00CE6612"/>
    <w:rsid w:val="00CE6EA7"/>
    <w:rsid w:val="00CE7191"/>
    <w:rsid w:val="00CE72F2"/>
    <w:rsid w:val="00CE77BF"/>
    <w:rsid w:val="00CE7F4F"/>
    <w:rsid w:val="00CF07C5"/>
    <w:rsid w:val="00CF0B22"/>
    <w:rsid w:val="00CF0D4D"/>
    <w:rsid w:val="00CF115D"/>
    <w:rsid w:val="00CF19F7"/>
    <w:rsid w:val="00CF2133"/>
    <w:rsid w:val="00CF22F9"/>
    <w:rsid w:val="00CF2DAF"/>
    <w:rsid w:val="00CF3018"/>
    <w:rsid w:val="00CF3E5D"/>
    <w:rsid w:val="00CF4F5E"/>
    <w:rsid w:val="00CF5102"/>
    <w:rsid w:val="00CF5892"/>
    <w:rsid w:val="00CF685E"/>
    <w:rsid w:val="00CF76AF"/>
    <w:rsid w:val="00CF7E9E"/>
    <w:rsid w:val="00CF7F67"/>
    <w:rsid w:val="00D00449"/>
    <w:rsid w:val="00D011CB"/>
    <w:rsid w:val="00D014ED"/>
    <w:rsid w:val="00D01A14"/>
    <w:rsid w:val="00D01EC7"/>
    <w:rsid w:val="00D01FA6"/>
    <w:rsid w:val="00D01FAE"/>
    <w:rsid w:val="00D025D8"/>
    <w:rsid w:val="00D02A88"/>
    <w:rsid w:val="00D02FD8"/>
    <w:rsid w:val="00D0319B"/>
    <w:rsid w:val="00D03D04"/>
    <w:rsid w:val="00D04653"/>
    <w:rsid w:val="00D04E8C"/>
    <w:rsid w:val="00D056F9"/>
    <w:rsid w:val="00D05732"/>
    <w:rsid w:val="00D06742"/>
    <w:rsid w:val="00D06833"/>
    <w:rsid w:val="00D06F3B"/>
    <w:rsid w:val="00D0705D"/>
    <w:rsid w:val="00D07077"/>
    <w:rsid w:val="00D1024E"/>
    <w:rsid w:val="00D11146"/>
    <w:rsid w:val="00D11CDD"/>
    <w:rsid w:val="00D1231B"/>
    <w:rsid w:val="00D12EB1"/>
    <w:rsid w:val="00D13760"/>
    <w:rsid w:val="00D13814"/>
    <w:rsid w:val="00D1492C"/>
    <w:rsid w:val="00D14AA4"/>
    <w:rsid w:val="00D1525F"/>
    <w:rsid w:val="00D1546C"/>
    <w:rsid w:val="00D158A8"/>
    <w:rsid w:val="00D15F0E"/>
    <w:rsid w:val="00D165E7"/>
    <w:rsid w:val="00D1668E"/>
    <w:rsid w:val="00D16A14"/>
    <w:rsid w:val="00D17C0A"/>
    <w:rsid w:val="00D20B90"/>
    <w:rsid w:val="00D212DB"/>
    <w:rsid w:val="00D21606"/>
    <w:rsid w:val="00D21A5C"/>
    <w:rsid w:val="00D22542"/>
    <w:rsid w:val="00D2254B"/>
    <w:rsid w:val="00D22553"/>
    <w:rsid w:val="00D22EE4"/>
    <w:rsid w:val="00D230AD"/>
    <w:rsid w:val="00D23381"/>
    <w:rsid w:val="00D234AF"/>
    <w:rsid w:val="00D24A57"/>
    <w:rsid w:val="00D24C5B"/>
    <w:rsid w:val="00D263FB"/>
    <w:rsid w:val="00D273D1"/>
    <w:rsid w:val="00D27477"/>
    <w:rsid w:val="00D27549"/>
    <w:rsid w:val="00D31CE5"/>
    <w:rsid w:val="00D31E40"/>
    <w:rsid w:val="00D3238D"/>
    <w:rsid w:val="00D32951"/>
    <w:rsid w:val="00D32C28"/>
    <w:rsid w:val="00D32CF4"/>
    <w:rsid w:val="00D33FD2"/>
    <w:rsid w:val="00D348E2"/>
    <w:rsid w:val="00D354DD"/>
    <w:rsid w:val="00D35A95"/>
    <w:rsid w:val="00D36735"/>
    <w:rsid w:val="00D36B2F"/>
    <w:rsid w:val="00D36DF9"/>
    <w:rsid w:val="00D371B0"/>
    <w:rsid w:val="00D373D2"/>
    <w:rsid w:val="00D373EB"/>
    <w:rsid w:val="00D37509"/>
    <w:rsid w:val="00D37733"/>
    <w:rsid w:val="00D379CE"/>
    <w:rsid w:val="00D379F6"/>
    <w:rsid w:val="00D401D5"/>
    <w:rsid w:val="00D40B92"/>
    <w:rsid w:val="00D41B4D"/>
    <w:rsid w:val="00D4231F"/>
    <w:rsid w:val="00D43BF5"/>
    <w:rsid w:val="00D43C95"/>
    <w:rsid w:val="00D44A4D"/>
    <w:rsid w:val="00D45768"/>
    <w:rsid w:val="00D45CF1"/>
    <w:rsid w:val="00D45E17"/>
    <w:rsid w:val="00D468F7"/>
    <w:rsid w:val="00D46A4E"/>
    <w:rsid w:val="00D46C2B"/>
    <w:rsid w:val="00D5019B"/>
    <w:rsid w:val="00D51239"/>
    <w:rsid w:val="00D5149D"/>
    <w:rsid w:val="00D51CA7"/>
    <w:rsid w:val="00D51E8D"/>
    <w:rsid w:val="00D51F6F"/>
    <w:rsid w:val="00D52883"/>
    <w:rsid w:val="00D52BA3"/>
    <w:rsid w:val="00D53672"/>
    <w:rsid w:val="00D554E7"/>
    <w:rsid w:val="00D55803"/>
    <w:rsid w:val="00D55FCE"/>
    <w:rsid w:val="00D5631E"/>
    <w:rsid w:val="00D567EA"/>
    <w:rsid w:val="00D56BDC"/>
    <w:rsid w:val="00D56EFB"/>
    <w:rsid w:val="00D57423"/>
    <w:rsid w:val="00D603AF"/>
    <w:rsid w:val="00D60BDF"/>
    <w:rsid w:val="00D60C12"/>
    <w:rsid w:val="00D61033"/>
    <w:rsid w:val="00D615E3"/>
    <w:rsid w:val="00D6242D"/>
    <w:rsid w:val="00D624BC"/>
    <w:rsid w:val="00D636A4"/>
    <w:rsid w:val="00D64CE4"/>
    <w:rsid w:val="00D6518E"/>
    <w:rsid w:val="00D6562E"/>
    <w:rsid w:val="00D65ED5"/>
    <w:rsid w:val="00D66C63"/>
    <w:rsid w:val="00D66D22"/>
    <w:rsid w:val="00D6760B"/>
    <w:rsid w:val="00D677A8"/>
    <w:rsid w:val="00D67DE3"/>
    <w:rsid w:val="00D70613"/>
    <w:rsid w:val="00D70662"/>
    <w:rsid w:val="00D70A51"/>
    <w:rsid w:val="00D70C6C"/>
    <w:rsid w:val="00D715DE"/>
    <w:rsid w:val="00D71CA7"/>
    <w:rsid w:val="00D71E5C"/>
    <w:rsid w:val="00D72275"/>
    <w:rsid w:val="00D72401"/>
    <w:rsid w:val="00D724C1"/>
    <w:rsid w:val="00D7320A"/>
    <w:rsid w:val="00D75011"/>
    <w:rsid w:val="00D75237"/>
    <w:rsid w:val="00D760F3"/>
    <w:rsid w:val="00D76404"/>
    <w:rsid w:val="00D76455"/>
    <w:rsid w:val="00D7650A"/>
    <w:rsid w:val="00D76ED8"/>
    <w:rsid w:val="00D76FCF"/>
    <w:rsid w:val="00D77810"/>
    <w:rsid w:val="00D8116D"/>
    <w:rsid w:val="00D81195"/>
    <w:rsid w:val="00D811EB"/>
    <w:rsid w:val="00D81400"/>
    <w:rsid w:val="00D81679"/>
    <w:rsid w:val="00D81787"/>
    <w:rsid w:val="00D8246E"/>
    <w:rsid w:val="00D82525"/>
    <w:rsid w:val="00D83375"/>
    <w:rsid w:val="00D8370D"/>
    <w:rsid w:val="00D843AB"/>
    <w:rsid w:val="00D84C91"/>
    <w:rsid w:val="00D851FE"/>
    <w:rsid w:val="00D859C2"/>
    <w:rsid w:val="00D86638"/>
    <w:rsid w:val="00D86FD1"/>
    <w:rsid w:val="00D87F80"/>
    <w:rsid w:val="00D90735"/>
    <w:rsid w:val="00D9095B"/>
    <w:rsid w:val="00D90E1A"/>
    <w:rsid w:val="00D91602"/>
    <w:rsid w:val="00D9197E"/>
    <w:rsid w:val="00D92143"/>
    <w:rsid w:val="00D927FA"/>
    <w:rsid w:val="00D92B45"/>
    <w:rsid w:val="00D92BA4"/>
    <w:rsid w:val="00D93621"/>
    <w:rsid w:val="00D93F2F"/>
    <w:rsid w:val="00D950F1"/>
    <w:rsid w:val="00D95122"/>
    <w:rsid w:val="00D95A99"/>
    <w:rsid w:val="00D95CF1"/>
    <w:rsid w:val="00D96133"/>
    <w:rsid w:val="00D96DD2"/>
    <w:rsid w:val="00D97725"/>
    <w:rsid w:val="00D97B8E"/>
    <w:rsid w:val="00DA06FB"/>
    <w:rsid w:val="00DA0851"/>
    <w:rsid w:val="00DA0A74"/>
    <w:rsid w:val="00DA109E"/>
    <w:rsid w:val="00DA2257"/>
    <w:rsid w:val="00DA287D"/>
    <w:rsid w:val="00DA2BEC"/>
    <w:rsid w:val="00DA374B"/>
    <w:rsid w:val="00DA3752"/>
    <w:rsid w:val="00DA38E6"/>
    <w:rsid w:val="00DA42DF"/>
    <w:rsid w:val="00DA4521"/>
    <w:rsid w:val="00DA46B1"/>
    <w:rsid w:val="00DA523E"/>
    <w:rsid w:val="00DA5A78"/>
    <w:rsid w:val="00DA5B46"/>
    <w:rsid w:val="00DA6019"/>
    <w:rsid w:val="00DA620F"/>
    <w:rsid w:val="00DA74D6"/>
    <w:rsid w:val="00DA76CB"/>
    <w:rsid w:val="00DA79C3"/>
    <w:rsid w:val="00DB01FE"/>
    <w:rsid w:val="00DB0576"/>
    <w:rsid w:val="00DB1109"/>
    <w:rsid w:val="00DB1227"/>
    <w:rsid w:val="00DB2891"/>
    <w:rsid w:val="00DB2934"/>
    <w:rsid w:val="00DB2C4C"/>
    <w:rsid w:val="00DB374E"/>
    <w:rsid w:val="00DB3BDE"/>
    <w:rsid w:val="00DB3D85"/>
    <w:rsid w:val="00DB3E5D"/>
    <w:rsid w:val="00DB410A"/>
    <w:rsid w:val="00DB463D"/>
    <w:rsid w:val="00DB4E26"/>
    <w:rsid w:val="00DB54BB"/>
    <w:rsid w:val="00DB5D03"/>
    <w:rsid w:val="00DB6014"/>
    <w:rsid w:val="00DB6DD8"/>
    <w:rsid w:val="00DB7435"/>
    <w:rsid w:val="00DB76F0"/>
    <w:rsid w:val="00DB7A5D"/>
    <w:rsid w:val="00DC10CF"/>
    <w:rsid w:val="00DC15F1"/>
    <w:rsid w:val="00DC24F3"/>
    <w:rsid w:val="00DC2C49"/>
    <w:rsid w:val="00DC2CDC"/>
    <w:rsid w:val="00DC3341"/>
    <w:rsid w:val="00DC37CF"/>
    <w:rsid w:val="00DC3B28"/>
    <w:rsid w:val="00DC4B38"/>
    <w:rsid w:val="00DC4C63"/>
    <w:rsid w:val="00DC5783"/>
    <w:rsid w:val="00DC5848"/>
    <w:rsid w:val="00DC585F"/>
    <w:rsid w:val="00DC599D"/>
    <w:rsid w:val="00DC59D8"/>
    <w:rsid w:val="00DC63E9"/>
    <w:rsid w:val="00DC6FFF"/>
    <w:rsid w:val="00DC726A"/>
    <w:rsid w:val="00DD0450"/>
    <w:rsid w:val="00DD0B23"/>
    <w:rsid w:val="00DD1E5E"/>
    <w:rsid w:val="00DD222E"/>
    <w:rsid w:val="00DD2CDE"/>
    <w:rsid w:val="00DD3E9B"/>
    <w:rsid w:val="00DD4350"/>
    <w:rsid w:val="00DD4C8E"/>
    <w:rsid w:val="00DD4F66"/>
    <w:rsid w:val="00DD528E"/>
    <w:rsid w:val="00DD5426"/>
    <w:rsid w:val="00DD5642"/>
    <w:rsid w:val="00DD5B03"/>
    <w:rsid w:val="00DD5E1F"/>
    <w:rsid w:val="00DD634D"/>
    <w:rsid w:val="00DD6F77"/>
    <w:rsid w:val="00DD718D"/>
    <w:rsid w:val="00DD7609"/>
    <w:rsid w:val="00DE0CB5"/>
    <w:rsid w:val="00DE179A"/>
    <w:rsid w:val="00DE2451"/>
    <w:rsid w:val="00DE4B7B"/>
    <w:rsid w:val="00DE53A2"/>
    <w:rsid w:val="00DE551A"/>
    <w:rsid w:val="00DE5B64"/>
    <w:rsid w:val="00DE757D"/>
    <w:rsid w:val="00DE7B00"/>
    <w:rsid w:val="00DF011B"/>
    <w:rsid w:val="00DF05F1"/>
    <w:rsid w:val="00DF0B95"/>
    <w:rsid w:val="00DF0F52"/>
    <w:rsid w:val="00DF1904"/>
    <w:rsid w:val="00DF298C"/>
    <w:rsid w:val="00DF328A"/>
    <w:rsid w:val="00DF362C"/>
    <w:rsid w:val="00DF37F1"/>
    <w:rsid w:val="00DF4012"/>
    <w:rsid w:val="00DF4C86"/>
    <w:rsid w:val="00DF506A"/>
    <w:rsid w:val="00DF6181"/>
    <w:rsid w:val="00DF6AD4"/>
    <w:rsid w:val="00E01873"/>
    <w:rsid w:val="00E021C1"/>
    <w:rsid w:val="00E02B6A"/>
    <w:rsid w:val="00E02F37"/>
    <w:rsid w:val="00E02FA0"/>
    <w:rsid w:val="00E0308B"/>
    <w:rsid w:val="00E032F3"/>
    <w:rsid w:val="00E03B3F"/>
    <w:rsid w:val="00E04438"/>
    <w:rsid w:val="00E04BB9"/>
    <w:rsid w:val="00E04DAA"/>
    <w:rsid w:val="00E053EB"/>
    <w:rsid w:val="00E0578E"/>
    <w:rsid w:val="00E06C9A"/>
    <w:rsid w:val="00E07082"/>
    <w:rsid w:val="00E0765D"/>
    <w:rsid w:val="00E104A6"/>
    <w:rsid w:val="00E1076E"/>
    <w:rsid w:val="00E10B00"/>
    <w:rsid w:val="00E11136"/>
    <w:rsid w:val="00E112C5"/>
    <w:rsid w:val="00E11666"/>
    <w:rsid w:val="00E11735"/>
    <w:rsid w:val="00E1190A"/>
    <w:rsid w:val="00E11F7E"/>
    <w:rsid w:val="00E1295F"/>
    <w:rsid w:val="00E140EF"/>
    <w:rsid w:val="00E149F8"/>
    <w:rsid w:val="00E156B6"/>
    <w:rsid w:val="00E165C4"/>
    <w:rsid w:val="00E171B5"/>
    <w:rsid w:val="00E179E8"/>
    <w:rsid w:val="00E17D79"/>
    <w:rsid w:val="00E20134"/>
    <w:rsid w:val="00E20D90"/>
    <w:rsid w:val="00E20FED"/>
    <w:rsid w:val="00E220F6"/>
    <w:rsid w:val="00E22BBA"/>
    <w:rsid w:val="00E23326"/>
    <w:rsid w:val="00E23EC7"/>
    <w:rsid w:val="00E25559"/>
    <w:rsid w:val="00E258CD"/>
    <w:rsid w:val="00E2603C"/>
    <w:rsid w:val="00E26412"/>
    <w:rsid w:val="00E2697E"/>
    <w:rsid w:val="00E31141"/>
    <w:rsid w:val="00E318EB"/>
    <w:rsid w:val="00E321E4"/>
    <w:rsid w:val="00E33BFF"/>
    <w:rsid w:val="00E33C3D"/>
    <w:rsid w:val="00E33FB7"/>
    <w:rsid w:val="00E34272"/>
    <w:rsid w:val="00E34E63"/>
    <w:rsid w:val="00E3540D"/>
    <w:rsid w:val="00E359F4"/>
    <w:rsid w:val="00E3666B"/>
    <w:rsid w:val="00E40250"/>
    <w:rsid w:val="00E40968"/>
    <w:rsid w:val="00E44183"/>
    <w:rsid w:val="00E45581"/>
    <w:rsid w:val="00E46315"/>
    <w:rsid w:val="00E46432"/>
    <w:rsid w:val="00E46BC0"/>
    <w:rsid w:val="00E478D6"/>
    <w:rsid w:val="00E50090"/>
    <w:rsid w:val="00E50FF9"/>
    <w:rsid w:val="00E512D7"/>
    <w:rsid w:val="00E5356A"/>
    <w:rsid w:val="00E53ADF"/>
    <w:rsid w:val="00E53AF6"/>
    <w:rsid w:val="00E5497F"/>
    <w:rsid w:val="00E558BA"/>
    <w:rsid w:val="00E5593D"/>
    <w:rsid w:val="00E55A84"/>
    <w:rsid w:val="00E562D7"/>
    <w:rsid w:val="00E57EE3"/>
    <w:rsid w:val="00E60649"/>
    <w:rsid w:val="00E60C8A"/>
    <w:rsid w:val="00E60F16"/>
    <w:rsid w:val="00E613E4"/>
    <w:rsid w:val="00E61978"/>
    <w:rsid w:val="00E62D6A"/>
    <w:rsid w:val="00E63061"/>
    <w:rsid w:val="00E63616"/>
    <w:rsid w:val="00E64653"/>
    <w:rsid w:val="00E64D86"/>
    <w:rsid w:val="00E654C1"/>
    <w:rsid w:val="00E663B5"/>
    <w:rsid w:val="00E66E84"/>
    <w:rsid w:val="00E675C7"/>
    <w:rsid w:val="00E708FB"/>
    <w:rsid w:val="00E710E0"/>
    <w:rsid w:val="00E7167E"/>
    <w:rsid w:val="00E71EFD"/>
    <w:rsid w:val="00E71F01"/>
    <w:rsid w:val="00E72165"/>
    <w:rsid w:val="00E738ED"/>
    <w:rsid w:val="00E73C6B"/>
    <w:rsid w:val="00E73DC8"/>
    <w:rsid w:val="00E75068"/>
    <w:rsid w:val="00E752CA"/>
    <w:rsid w:val="00E75550"/>
    <w:rsid w:val="00E756C3"/>
    <w:rsid w:val="00E77C30"/>
    <w:rsid w:val="00E8064E"/>
    <w:rsid w:val="00E80BAD"/>
    <w:rsid w:val="00E80F34"/>
    <w:rsid w:val="00E81008"/>
    <w:rsid w:val="00E81300"/>
    <w:rsid w:val="00E8133E"/>
    <w:rsid w:val="00E8185A"/>
    <w:rsid w:val="00E82AC1"/>
    <w:rsid w:val="00E8302F"/>
    <w:rsid w:val="00E83476"/>
    <w:rsid w:val="00E849F6"/>
    <w:rsid w:val="00E85255"/>
    <w:rsid w:val="00E85FF9"/>
    <w:rsid w:val="00E8646B"/>
    <w:rsid w:val="00E865DC"/>
    <w:rsid w:val="00E86DC4"/>
    <w:rsid w:val="00E905C4"/>
    <w:rsid w:val="00E90ABE"/>
    <w:rsid w:val="00E90E68"/>
    <w:rsid w:val="00E9147D"/>
    <w:rsid w:val="00E91695"/>
    <w:rsid w:val="00E91AB2"/>
    <w:rsid w:val="00E9373B"/>
    <w:rsid w:val="00E93E87"/>
    <w:rsid w:val="00E94B05"/>
    <w:rsid w:val="00E95259"/>
    <w:rsid w:val="00E95332"/>
    <w:rsid w:val="00E95A81"/>
    <w:rsid w:val="00E96045"/>
    <w:rsid w:val="00E964B6"/>
    <w:rsid w:val="00E96A01"/>
    <w:rsid w:val="00E96D32"/>
    <w:rsid w:val="00E97009"/>
    <w:rsid w:val="00E976F3"/>
    <w:rsid w:val="00E97897"/>
    <w:rsid w:val="00EA0EE0"/>
    <w:rsid w:val="00EA10EB"/>
    <w:rsid w:val="00EA3757"/>
    <w:rsid w:val="00EA4839"/>
    <w:rsid w:val="00EA4FA1"/>
    <w:rsid w:val="00EA581F"/>
    <w:rsid w:val="00EA5AA7"/>
    <w:rsid w:val="00EA6B12"/>
    <w:rsid w:val="00EB0E17"/>
    <w:rsid w:val="00EB0E26"/>
    <w:rsid w:val="00EB0EFA"/>
    <w:rsid w:val="00EB17DD"/>
    <w:rsid w:val="00EB1CB8"/>
    <w:rsid w:val="00EB2895"/>
    <w:rsid w:val="00EB29E0"/>
    <w:rsid w:val="00EB34A6"/>
    <w:rsid w:val="00EB4266"/>
    <w:rsid w:val="00EB5448"/>
    <w:rsid w:val="00EB6B4A"/>
    <w:rsid w:val="00EB79E7"/>
    <w:rsid w:val="00EB7D48"/>
    <w:rsid w:val="00EC012A"/>
    <w:rsid w:val="00EC0B6D"/>
    <w:rsid w:val="00EC10A9"/>
    <w:rsid w:val="00EC1BDF"/>
    <w:rsid w:val="00EC1D5C"/>
    <w:rsid w:val="00EC2236"/>
    <w:rsid w:val="00EC2402"/>
    <w:rsid w:val="00EC2551"/>
    <w:rsid w:val="00EC3558"/>
    <w:rsid w:val="00EC4960"/>
    <w:rsid w:val="00EC515E"/>
    <w:rsid w:val="00EC5756"/>
    <w:rsid w:val="00EC64FB"/>
    <w:rsid w:val="00ED0831"/>
    <w:rsid w:val="00ED1C05"/>
    <w:rsid w:val="00ED1DEC"/>
    <w:rsid w:val="00ED282C"/>
    <w:rsid w:val="00ED328F"/>
    <w:rsid w:val="00ED3CDF"/>
    <w:rsid w:val="00ED5924"/>
    <w:rsid w:val="00ED5D37"/>
    <w:rsid w:val="00ED6055"/>
    <w:rsid w:val="00ED6B6A"/>
    <w:rsid w:val="00ED7185"/>
    <w:rsid w:val="00ED7C8F"/>
    <w:rsid w:val="00EE06A1"/>
    <w:rsid w:val="00EE0A10"/>
    <w:rsid w:val="00EE1E17"/>
    <w:rsid w:val="00EE2545"/>
    <w:rsid w:val="00EE2807"/>
    <w:rsid w:val="00EE2C99"/>
    <w:rsid w:val="00EE3304"/>
    <w:rsid w:val="00EE3A2A"/>
    <w:rsid w:val="00EE5716"/>
    <w:rsid w:val="00EE6538"/>
    <w:rsid w:val="00EE7D17"/>
    <w:rsid w:val="00EE7F96"/>
    <w:rsid w:val="00EF0C2B"/>
    <w:rsid w:val="00EF1839"/>
    <w:rsid w:val="00EF1F5D"/>
    <w:rsid w:val="00EF2732"/>
    <w:rsid w:val="00EF3A16"/>
    <w:rsid w:val="00EF4522"/>
    <w:rsid w:val="00F00390"/>
    <w:rsid w:val="00F00642"/>
    <w:rsid w:val="00F00765"/>
    <w:rsid w:val="00F00D08"/>
    <w:rsid w:val="00F01CF5"/>
    <w:rsid w:val="00F03ED3"/>
    <w:rsid w:val="00F042D9"/>
    <w:rsid w:val="00F0435C"/>
    <w:rsid w:val="00F04A8B"/>
    <w:rsid w:val="00F05413"/>
    <w:rsid w:val="00F054DC"/>
    <w:rsid w:val="00F06350"/>
    <w:rsid w:val="00F070AC"/>
    <w:rsid w:val="00F1106B"/>
    <w:rsid w:val="00F11BD1"/>
    <w:rsid w:val="00F12079"/>
    <w:rsid w:val="00F12927"/>
    <w:rsid w:val="00F136D2"/>
    <w:rsid w:val="00F13F62"/>
    <w:rsid w:val="00F13FA5"/>
    <w:rsid w:val="00F145AE"/>
    <w:rsid w:val="00F14AD1"/>
    <w:rsid w:val="00F14F3F"/>
    <w:rsid w:val="00F16057"/>
    <w:rsid w:val="00F1651B"/>
    <w:rsid w:val="00F170F2"/>
    <w:rsid w:val="00F20AA4"/>
    <w:rsid w:val="00F20E8E"/>
    <w:rsid w:val="00F21002"/>
    <w:rsid w:val="00F22053"/>
    <w:rsid w:val="00F225EF"/>
    <w:rsid w:val="00F234ED"/>
    <w:rsid w:val="00F234F7"/>
    <w:rsid w:val="00F23865"/>
    <w:rsid w:val="00F23B11"/>
    <w:rsid w:val="00F23CAC"/>
    <w:rsid w:val="00F24091"/>
    <w:rsid w:val="00F255A7"/>
    <w:rsid w:val="00F25CE7"/>
    <w:rsid w:val="00F25D7E"/>
    <w:rsid w:val="00F25F65"/>
    <w:rsid w:val="00F268BD"/>
    <w:rsid w:val="00F26A42"/>
    <w:rsid w:val="00F26F3C"/>
    <w:rsid w:val="00F27E0D"/>
    <w:rsid w:val="00F3027C"/>
    <w:rsid w:val="00F303FE"/>
    <w:rsid w:val="00F311F7"/>
    <w:rsid w:val="00F312EA"/>
    <w:rsid w:val="00F31332"/>
    <w:rsid w:val="00F314E8"/>
    <w:rsid w:val="00F320A7"/>
    <w:rsid w:val="00F32391"/>
    <w:rsid w:val="00F3309B"/>
    <w:rsid w:val="00F337BF"/>
    <w:rsid w:val="00F33D27"/>
    <w:rsid w:val="00F33D34"/>
    <w:rsid w:val="00F34A89"/>
    <w:rsid w:val="00F37D56"/>
    <w:rsid w:val="00F40687"/>
    <w:rsid w:val="00F423A5"/>
    <w:rsid w:val="00F43905"/>
    <w:rsid w:val="00F43FF5"/>
    <w:rsid w:val="00F44DB5"/>
    <w:rsid w:val="00F4520C"/>
    <w:rsid w:val="00F45F17"/>
    <w:rsid w:val="00F46615"/>
    <w:rsid w:val="00F46749"/>
    <w:rsid w:val="00F46BDE"/>
    <w:rsid w:val="00F46C93"/>
    <w:rsid w:val="00F46D7F"/>
    <w:rsid w:val="00F47834"/>
    <w:rsid w:val="00F501A1"/>
    <w:rsid w:val="00F50EE2"/>
    <w:rsid w:val="00F511ED"/>
    <w:rsid w:val="00F5156C"/>
    <w:rsid w:val="00F51CB9"/>
    <w:rsid w:val="00F52142"/>
    <w:rsid w:val="00F52555"/>
    <w:rsid w:val="00F527AC"/>
    <w:rsid w:val="00F52CDF"/>
    <w:rsid w:val="00F53345"/>
    <w:rsid w:val="00F534C5"/>
    <w:rsid w:val="00F53745"/>
    <w:rsid w:val="00F5394E"/>
    <w:rsid w:val="00F539FF"/>
    <w:rsid w:val="00F551E2"/>
    <w:rsid w:val="00F555F5"/>
    <w:rsid w:val="00F55A12"/>
    <w:rsid w:val="00F563F7"/>
    <w:rsid w:val="00F56CAC"/>
    <w:rsid w:val="00F570EB"/>
    <w:rsid w:val="00F574DF"/>
    <w:rsid w:val="00F57F21"/>
    <w:rsid w:val="00F60629"/>
    <w:rsid w:val="00F60FE8"/>
    <w:rsid w:val="00F61CE1"/>
    <w:rsid w:val="00F61FD6"/>
    <w:rsid w:val="00F62218"/>
    <w:rsid w:val="00F628D6"/>
    <w:rsid w:val="00F640A3"/>
    <w:rsid w:val="00F640AA"/>
    <w:rsid w:val="00F64B96"/>
    <w:rsid w:val="00F64DA3"/>
    <w:rsid w:val="00F65DB5"/>
    <w:rsid w:val="00F66390"/>
    <w:rsid w:val="00F66DDE"/>
    <w:rsid w:val="00F673D6"/>
    <w:rsid w:val="00F67C05"/>
    <w:rsid w:val="00F67FB3"/>
    <w:rsid w:val="00F705EB"/>
    <w:rsid w:val="00F70C2B"/>
    <w:rsid w:val="00F70F8E"/>
    <w:rsid w:val="00F71841"/>
    <w:rsid w:val="00F72201"/>
    <w:rsid w:val="00F72343"/>
    <w:rsid w:val="00F72720"/>
    <w:rsid w:val="00F7289A"/>
    <w:rsid w:val="00F72CC0"/>
    <w:rsid w:val="00F72D6D"/>
    <w:rsid w:val="00F72EBE"/>
    <w:rsid w:val="00F73653"/>
    <w:rsid w:val="00F74877"/>
    <w:rsid w:val="00F76729"/>
    <w:rsid w:val="00F76F38"/>
    <w:rsid w:val="00F80417"/>
    <w:rsid w:val="00F816B9"/>
    <w:rsid w:val="00F81B73"/>
    <w:rsid w:val="00F81DED"/>
    <w:rsid w:val="00F820DF"/>
    <w:rsid w:val="00F82433"/>
    <w:rsid w:val="00F83038"/>
    <w:rsid w:val="00F831D8"/>
    <w:rsid w:val="00F833E6"/>
    <w:rsid w:val="00F83AB6"/>
    <w:rsid w:val="00F83F56"/>
    <w:rsid w:val="00F83F89"/>
    <w:rsid w:val="00F8554A"/>
    <w:rsid w:val="00F85BDB"/>
    <w:rsid w:val="00F8722D"/>
    <w:rsid w:val="00F87CE4"/>
    <w:rsid w:val="00F901C0"/>
    <w:rsid w:val="00F9038B"/>
    <w:rsid w:val="00F90755"/>
    <w:rsid w:val="00F90AE9"/>
    <w:rsid w:val="00F90FBB"/>
    <w:rsid w:val="00F913D8"/>
    <w:rsid w:val="00F91A89"/>
    <w:rsid w:val="00F91E31"/>
    <w:rsid w:val="00F91FB1"/>
    <w:rsid w:val="00F93540"/>
    <w:rsid w:val="00F94E77"/>
    <w:rsid w:val="00F9649E"/>
    <w:rsid w:val="00F97236"/>
    <w:rsid w:val="00F97ADA"/>
    <w:rsid w:val="00FA065C"/>
    <w:rsid w:val="00FA1075"/>
    <w:rsid w:val="00FA13DF"/>
    <w:rsid w:val="00FA1A95"/>
    <w:rsid w:val="00FA1B22"/>
    <w:rsid w:val="00FA29E9"/>
    <w:rsid w:val="00FA2ACF"/>
    <w:rsid w:val="00FA2B49"/>
    <w:rsid w:val="00FA7B73"/>
    <w:rsid w:val="00FB0832"/>
    <w:rsid w:val="00FB0F3D"/>
    <w:rsid w:val="00FB3283"/>
    <w:rsid w:val="00FB34F5"/>
    <w:rsid w:val="00FB35C9"/>
    <w:rsid w:val="00FB3666"/>
    <w:rsid w:val="00FB44BB"/>
    <w:rsid w:val="00FB4CC6"/>
    <w:rsid w:val="00FB4FD8"/>
    <w:rsid w:val="00FB528A"/>
    <w:rsid w:val="00FB5498"/>
    <w:rsid w:val="00FB5B6C"/>
    <w:rsid w:val="00FB5FD7"/>
    <w:rsid w:val="00FB605B"/>
    <w:rsid w:val="00FB7086"/>
    <w:rsid w:val="00FB73BC"/>
    <w:rsid w:val="00FB7837"/>
    <w:rsid w:val="00FB7AAD"/>
    <w:rsid w:val="00FB7D33"/>
    <w:rsid w:val="00FC062A"/>
    <w:rsid w:val="00FC06E9"/>
    <w:rsid w:val="00FC19FF"/>
    <w:rsid w:val="00FC2101"/>
    <w:rsid w:val="00FC26E6"/>
    <w:rsid w:val="00FC2C72"/>
    <w:rsid w:val="00FC2F01"/>
    <w:rsid w:val="00FC4A8B"/>
    <w:rsid w:val="00FC58B4"/>
    <w:rsid w:val="00FC5970"/>
    <w:rsid w:val="00FC59BE"/>
    <w:rsid w:val="00FC7805"/>
    <w:rsid w:val="00FD16A7"/>
    <w:rsid w:val="00FD42A1"/>
    <w:rsid w:val="00FD4389"/>
    <w:rsid w:val="00FD5187"/>
    <w:rsid w:val="00FD582F"/>
    <w:rsid w:val="00FD5A80"/>
    <w:rsid w:val="00FD691A"/>
    <w:rsid w:val="00FD6C79"/>
    <w:rsid w:val="00FD76D1"/>
    <w:rsid w:val="00FD7EA8"/>
    <w:rsid w:val="00FE150F"/>
    <w:rsid w:val="00FE19B3"/>
    <w:rsid w:val="00FE1C4D"/>
    <w:rsid w:val="00FE1D5A"/>
    <w:rsid w:val="00FE3EB6"/>
    <w:rsid w:val="00FE45BA"/>
    <w:rsid w:val="00FE4BEB"/>
    <w:rsid w:val="00FE5799"/>
    <w:rsid w:val="00FE662D"/>
    <w:rsid w:val="00FE6DBE"/>
    <w:rsid w:val="00FE7459"/>
    <w:rsid w:val="00FF0090"/>
    <w:rsid w:val="00FF08A6"/>
    <w:rsid w:val="00FF0D40"/>
    <w:rsid w:val="00FF13B8"/>
    <w:rsid w:val="00FF2DF8"/>
    <w:rsid w:val="00FF322C"/>
    <w:rsid w:val="00FF4521"/>
    <w:rsid w:val="00FF452D"/>
    <w:rsid w:val="00FF525D"/>
    <w:rsid w:val="014D3CAA"/>
    <w:rsid w:val="017A06A1"/>
    <w:rsid w:val="0196347A"/>
    <w:rsid w:val="01EB1607"/>
    <w:rsid w:val="022E78B0"/>
    <w:rsid w:val="031E0205"/>
    <w:rsid w:val="035A427E"/>
    <w:rsid w:val="0374150C"/>
    <w:rsid w:val="049F65FD"/>
    <w:rsid w:val="04AC10AC"/>
    <w:rsid w:val="04FA3246"/>
    <w:rsid w:val="05237749"/>
    <w:rsid w:val="05301BDD"/>
    <w:rsid w:val="05524495"/>
    <w:rsid w:val="05914827"/>
    <w:rsid w:val="05F549CC"/>
    <w:rsid w:val="06004277"/>
    <w:rsid w:val="069F5F70"/>
    <w:rsid w:val="06E35298"/>
    <w:rsid w:val="06E957F6"/>
    <w:rsid w:val="070F3086"/>
    <w:rsid w:val="07532AC3"/>
    <w:rsid w:val="08091425"/>
    <w:rsid w:val="084542FA"/>
    <w:rsid w:val="084602E2"/>
    <w:rsid w:val="08A832FE"/>
    <w:rsid w:val="08B7238C"/>
    <w:rsid w:val="09307D3A"/>
    <w:rsid w:val="09744A89"/>
    <w:rsid w:val="0A3357C7"/>
    <w:rsid w:val="0A66726F"/>
    <w:rsid w:val="0BB7574C"/>
    <w:rsid w:val="0BBB20EE"/>
    <w:rsid w:val="0BD23B03"/>
    <w:rsid w:val="0BFF3E9E"/>
    <w:rsid w:val="0C762A06"/>
    <w:rsid w:val="0CCF1B05"/>
    <w:rsid w:val="0CDD3009"/>
    <w:rsid w:val="0CE02CE7"/>
    <w:rsid w:val="0D031BD0"/>
    <w:rsid w:val="0D303BE2"/>
    <w:rsid w:val="0D4C0E7D"/>
    <w:rsid w:val="0DE01A40"/>
    <w:rsid w:val="0DF307FC"/>
    <w:rsid w:val="0E2D54DE"/>
    <w:rsid w:val="0E4F4007"/>
    <w:rsid w:val="0E874595"/>
    <w:rsid w:val="0E8A7B6D"/>
    <w:rsid w:val="0ED46C57"/>
    <w:rsid w:val="0F70786B"/>
    <w:rsid w:val="0F871B40"/>
    <w:rsid w:val="0FEF53FA"/>
    <w:rsid w:val="10051624"/>
    <w:rsid w:val="10524A9C"/>
    <w:rsid w:val="10C4734C"/>
    <w:rsid w:val="111E6E16"/>
    <w:rsid w:val="11603CE6"/>
    <w:rsid w:val="11B0140B"/>
    <w:rsid w:val="11C66AD5"/>
    <w:rsid w:val="12152FD8"/>
    <w:rsid w:val="12412221"/>
    <w:rsid w:val="124E2DBC"/>
    <w:rsid w:val="127C63FF"/>
    <w:rsid w:val="13336B27"/>
    <w:rsid w:val="13DE2AB9"/>
    <w:rsid w:val="14590449"/>
    <w:rsid w:val="14AD4E12"/>
    <w:rsid w:val="15890BEB"/>
    <w:rsid w:val="15D622E7"/>
    <w:rsid w:val="16327793"/>
    <w:rsid w:val="16445031"/>
    <w:rsid w:val="168A36B5"/>
    <w:rsid w:val="176E4736"/>
    <w:rsid w:val="17A761EC"/>
    <w:rsid w:val="17DA073A"/>
    <w:rsid w:val="17E4713F"/>
    <w:rsid w:val="17F92A96"/>
    <w:rsid w:val="18F43924"/>
    <w:rsid w:val="19017D29"/>
    <w:rsid w:val="19987761"/>
    <w:rsid w:val="19A40DE0"/>
    <w:rsid w:val="19D4169B"/>
    <w:rsid w:val="1A7E4D2C"/>
    <w:rsid w:val="1A8100E6"/>
    <w:rsid w:val="1A9C0EB6"/>
    <w:rsid w:val="1AB663C8"/>
    <w:rsid w:val="1AE4354F"/>
    <w:rsid w:val="1B342031"/>
    <w:rsid w:val="1BF02ECB"/>
    <w:rsid w:val="1CC33ED6"/>
    <w:rsid w:val="1DBF4CFA"/>
    <w:rsid w:val="1E123516"/>
    <w:rsid w:val="1E253190"/>
    <w:rsid w:val="1E544E3F"/>
    <w:rsid w:val="1E764BE5"/>
    <w:rsid w:val="1E8F3A06"/>
    <w:rsid w:val="1F0B1439"/>
    <w:rsid w:val="1F1F2C69"/>
    <w:rsid w:val="1F48666E"/>
    <w:rsid w:val="1F5C236E"/>
    <w:rsid w:val="1FA13818"/>
    <w:rsid w:val="1FAD0419"/>
    <w:rsid w:val="1FAD11D5"/>
    <w:rsid w:val="2011017B"/>
    <w:rsid w:val="206C1787"/>
    <w:rsid w:val="20A04F5B"/>
    <w:rsid w:val="20A7177E"/>
    <w:rsid w:val="21622609"/>
    <w:rsid w:val="217A38CE"/>
    <w:rsid w:val="220E7987"/>
    <w:rsid w:val="220F3F0F"/>
    <w:rsid w:val="221E1A29"/>
    <w:rsid w:val="22525B39"/>
    <w:rsid w:val="22BC7105"/>
    <w:rsid w:val="22C60DB9"/>
    <w:rsid w:val="23486100"/>
    <w:rsid w:val="237419AE"/>
    <w:rsid w:val="238A28A6"/>
    <w:rsid w:val="240D2C8D"/>
    <w:rsid w:val="24297F60"/>
    <w:rsid w:val="24390DA8"/>
    <w:rsid w:val="24506D59"/>
    <w:rsid w:val="24510B3F"/>
    <w:rsid w:val="24AC6044"/>
    <w:rsid w:val="24B01729"/>
    <w:rsid w:val="253A0F8A"/>
    <w:rsid w:val="25B567F1"/>
    <w:rsid w:val="25D2328A"/>
    <w:rsid w:val="25E31BB8"/>
    <w:rsid w:val="26124EC6"/>
    <w:rsid w:val="2694312E"/>
    <w:rsid w:val="26AE58B2"/>
    <w:rsid w:val="26EE7824"/>
    <w:rsid w:val="27354143"/>
    <w:rsid w:val="27703EB1"/>
    <w:rsid w:val="27B3607E"/>
    <w:rsid w:val="286A3AD1"/>
    <w:rsid w:val="28CC6E34"/>
    <w:rsid w:val="28EB6262"/>
    <w:rsid w:val="292802CE"/>
    <w:rsid w:val="298B521D"/>
    <w:rsid w:val="2992217C"/>
    <w:rsid w:val="2A2F0E6B"/>
    <w:rsid w:val="2A346739"/>
    <w:rsid w:val="2A540D5A"/>
    <w:rsid w:val="2A553942"/>
    <w:rsid w:val="2AF6223C"/>
    <w:rsid w:val="2AF70BD3"/>
    <w:rsid w:val="2B6D7B5C"/>
    <w:rsid w:val="2BA07FB9"/>
    <w:rsid w:val="2C301EC9"/>
    <w:rsid w:val="2C426B22"/>
    <w:rsid w:val="2CFB34C3"/>
    <w:rsid w:val="2D4A6F96"/>
    <w:rsid w:val="2D504061"/>
    <w:rsid w:val="2D617647"/>
    <w:rsid w:val="2DA53867"/>
    <w:rsid w:val="2DCB6C5A"/>
    <w:rsid w:val="2DFC1872"/>
    <w:rsid w:val="2E37798A"/>
    <w:rsid w:val="2E3A765F"/>
    <w:rsid w:val="2E48123E"/>
    <w:rsid w:val="2EA3367C"/>
    <w:rsid w:val="2F4E31D2"/>
    <w:rsid w:val="2F974450"/>
    <w:rsid w:val="30165A93"/>
    <w:rsid w:val="305E146C"/>
    <w:rsid w:val="307227CB"/>
    <w:rsid w:val="31186A72"/>
    <w:rsid w:val="314B22B6"/>
    <w:rsid w:val="32240211"/>
    <w:rsid w:val="32AA39E4"/>
    <w:rsid w:val="330C1BF8"/>
    <w:rsid w:val="33660FD5"/>
    <w:rsid w:val="340117BF"/>
    <w:rsid w:val="34314239"/>
    <w:rsid w:val="34506342"/>
    <w:rsid w:val="345D4252"/>
    <w:rsid w:val="34762AFE"/>
    <w:rsid w:val="34E84E17"/>
    <w:rsid w:val="34FF12E2"/>
    <w:rsid w:val="36276CFF"/>
    <w:rsid w:val="36512FF6"/>
    <w:rsid w:val="366E48DF"/>
    <w:rsid w:val="369B2159"/>
    <w:rsid w:val="373F1DA4"/>
    <w:rsid w:val="3821136E"/>
    <w:rsid w:val="38B25733"/>
    <w:rsid w:val="38C5318F"/>
    <w:rsid w:val="38CB0AFE"/>
    <w:rsid w:val="390D50E6"/>
    <w:rsid w:val="393806C6"/>
    <w:rsid w:val="394D0C5A"/>
    <w:rsid w:val="39873EC3"/>
    <w:rsid w:val="39880C45"/>
    <w:rsid w:val="39A22C19"/>
    <w:rsid w:val="39E321C5"/>
    <w:rsid w:val="3A06545C"/>
    <w:rsid w:val="3B402A20"/>
    <w:rsid w:val="3BAB0E99"/>
    <w:rsid w:val="3C9F69C3"/>
    <w:rsid w:val="3CA84C3C"/>
    <w:rsid w:val="3CCC7443"/>
    <w:rsid w:val="3CCD6EC4"/>
    <w:rsid w:val="3D2C09EA"/>
    <w:rsid w:val="3DA34931"/>
    <w:rsid w:val="3DA40E44"/>
    <w:rsid w:val="3DA70CEE"/>
    <w:rsid w:val="3DD43D76"/>
    <w:rsid w:val="3DFD7968"/>
    <w:rsid w:val="3E1E7815"/>
    <w:rsid w:val="3E214698"/>
    <w:rsid w:val="3E30260A"/>
    <w:rsid w:val="3E4B203E"/>
    <w:rsid w:val="3E7F2F9F"/>
    <w:rsid w:val="3E8D26F0"/>
    <w:rsid w:val="3F7724F0"/>
    <w:rsid w:val="3F780B49"/>
    <w:rsid w:val="3FAC527A"/>
    <w:rsid w:val="3FB052A3"/>
    <w:rsid w:val="3FCF203E"/>
    <w:rsid w:val="40832EB5"/>
    <w:rsid w:val="40F04C70"/>
    <w:rsid w:val="417768B7"/>
    <w:rsid w:val="41A971FF"/>
    <w:rsid w:val="41F8299E"/>
    <w:rsid w:val="42327533"/>
    <w:rsid w:val="42607E97"/>
    <w:rsid w:val="429A696D"/>
    <w:rsid w:val="42DA2552"/>
    <w:rsid w:val="42E12896"/>
    <w:rsid w:val="42E32A2F"/>
    <w:rsid w:val="4354239E"/>
    <w:rsid w:val="43761E43"/>
    <w:rsid w:val="43DF3CED"/>
    <w:rsid w:val="43E35C78"/>
    <w:rsid w:val="442B3D68"/>
    <w:rsid w:val="44766C1F"/>
    <w:rsid w:val="4499478D"/>
    <w:rsid w:val="44AB7201"/>
    <w:rsid w:val="45D56CD1"/>
    <w:rsid w:val="45E1618C"/>
    <w:rsid w:val="461C7BED"/>
    <w:rsid w:val="466F6302"/>
    <w:rsid w:val="47557A9B"/>
    <w:rsid w:val="47DE46B6"/>
    <w:rsid w:val="487C68C0"/>
    <w:rsid w:val="488A069F"/>
    <w:rsid w:val="488D6E56"/>
    <w:rsid w:val="48D36275"/>
    <w:rsid w:val="490709FC"/>
    <w:rsid w:val="49721DFC"/>
    <w:rsid w:val="498D2D03"/>
    <w:rsid w:val="499C17D1"/>
    <w:rsid w:val="499E5E6E"/>
    <w:rsid w:val="49EA69AC"/>
    <w:rsid w:val="4AB752F8"/>
    <w:rsid w:val="4B085DB9"/>
    <w:rsid w:val="4B0C7D3B"/>
    <w:rsid w:val="4B1069D5"/>
    <w:rsid w:val="4C6F0BF4"/>
    <w:rsid w:val="4CA0651D"/>
    <w:rsid w:val="4CC52E1F"/>
    <w:rsid w:val="4CF60CEC"/>
    <w:rsid w:val="4D2A3BA7"/>
    <w:rsid w:val="4EDD7883"/>
    <w:rsid w:val="4F8F2666"/>
    <w:rsid w:val="4FB344FF"/>
    <w:rsid w:val="4FE54E13"/>
    <w:rsid w:val="4FF1603B"/>
    <w:rsid w:val="500E251F"/>
    <w:rsid w:val="503971FD"/>
    <w:rsid w:val="50B50552"/>
    <w:rsid w:val="51314FF2"/>
    <w:rsid w:val="51991CB1"/>
    <w:rsid w:val="51A0391C"/>
    <w:rsid w:val="51D86A2C"/>
    <w:rsid w:val="520E6554"/>
    <w:rsid w:val="521C6DEB"/>
    <w:rsid w:val="52B47524"/>
    <w:rsid w:val="52D95477"/>
    <w:rsid w:val="53495ADB"/>
    <w:rsid w:val="542771B4"/>
    <w:rsid w:val="54B5085B"/>
    <w:rsid w:val="553F6099"/>
    <w:rsid w:val="5561274D"/>
    <w:rsid w:val="556B5782"/>
    <w:rsid w:val="55716FE4"/>
    <w:rsid w:val="558A3D25"/>
    <w:rsid w:val="55B45886"/>
    <w:rsid w:val="55C476F0"/>
    <w:rsid w:val="55CB61A3"/>
    <w:rsid w:val="5601083E"/>
    <w:rsid w:val="564940E9"/>
    <w:rsid w:val="564E5531"/>
    <w:rsid w:val="564F5FBA"/>
    <w:rsid w:val="56513567"/>
    <w:rsid w:val="566158BA"/>
    <w:rsid w:val="56FF01AD"/>
    <w:rsid w:val="571E148B"/>
    <w:rsid w:val="575C31BC"/>
    <w:rsid w:val="5761001B"/>
    <w:rsid w:val="5764131F"/>
    <w:rsid w:val="57686845"/>
    <w:rsid w:val="5804258B"/>
    <w:rsid w:val="58DF076F"/>
    <w:rsid w:val="592E6416"/>
    <w:rsid w:val="59737AC0"/>
    <w:rsid w:val="597B791E"/>
    <w:rsid w:val="5A5D7CD8"/>
    <w:rsid w:val="5AA14A51"/>
    <w:rsid w:val="5AB10DB0"/>
    <w:rsid w:val="5B5E3517"/>
    <w:rsid w:val="5B9A5FDB"/>
    <w:rsid w:val="5BBB0859"/>
    <w:rsid w:val="5BD47D42"/>
    <w:rsid w:val="5C5E7B0D"/>
    <w:rsid w:val="5C977617"/>
    <w:rsid w:val="5CDD24D5"/>
    <w:rsid w:val="5D0A220A"/>
    <w:rsid w:val="5DA816CD"/>
    <w:rsid w:val="5E3243A8"/>
    <w:rsid w:val="5E705170"/>
    <w:rsid w:val="5E7164B2"/>
    <w:rsid w:val="5E8D0155"/>
    <w:rsid w:val="5EB507FC"/>
    <w:rsid w:val="5F98211E"/>
    <w:rsid w:val="603C71C8"/>
    <w:rsid w:val="60444597"/>
    <w:rsid w:val="60590845"/>
    <w:rsid w:val="607144A0"/>
    <w:rsid w:val="60731EAA"/>
    <w:rsid w:val="61100EB3"/>
    <w:rsid w:val="61154F6C"/>
    <w:rsid w:val="612F2F98"/>
    <w:rsid w:val="61D46A87"/>
    <w:rsid w:val="61E52618"/>
    <w:rsid w:val="62A271F3"/>
    <w:rsid w:val="62C44553"/>
    <w:rsid w:val="62C64A6A"/>
    <w:rsid w:val="62F900F5"/>
    <w:rsid w:val="636D01A4"/>
    <w:rsid w:val="639F5AC4"/>
    <w:rsid w:val="64C86F6B"/>
    <w:rsid w:val="65000354"/>
    <w:rsid w:val="650D520A"/>
    <w:rsid w:val="65330DE2"/>
    <w:rsid w:val="654D5FBC"/>
    <w:rsid w:val="65B03799"/>
    <w:rsid w:val="65D6207B"/>
    <w:rsid w:val="65F3635A"/>
    <w:rsid w:val="660F4773"/>
    <w:rsid w:val="66270CAF"/>
    <w:rsid w:val="665977D6"/>
    <w:rsid w:val="668F2BF5"/>
    <w:rsid w:val="67A144D3"/>
    <w:rsid w:val="67A7799B"/>
    <w:rsid w:val="689738D4"/>
    <w:rsid w:val="68AB730D"/>
    <w:rsid w:val="691A1370"/>
    <w:rsid w:val="69435DA4"/>
    <w:rsid w:val="69BC0AE1"/>
    <w:rsid w:val="69EA69AC"/>
    <w:rsid w:val="6A955914"/>
    <w:rsid w:val="6AC75EF7"/>
    <w:rsid w:val="6B6747D5"/>
    <w:rsid w:val="6B804486"/>
    <w:rsid w:val="6BDD72AF"/>
    <w:rsid w:val="6C3A5AA3"/>
    <w:rsid w:val="6CBE10D7"/>
    <w:rsid w:val="6D201937"/>
    <w:rsid w:val="6D4B07F1"/>
    <w:rsid w:val="6D60092C"/>
    <w:rsid w:val="6E654AF9"/>
    <w:rsid w:val="6E85295A"/>
    <w:rsid w:val="6EA72431"/>
    <w:rsid w:val="6F3A1E02"/>
    <w:rsid w:val="6F5F58EE"/>
    <w:rsid w:val="6F692117"/>
    <w:rsid w:val="6FB57C6B"/>
    <w:rsid w:val="6FC429F6"/>
    <w:rsid w:val="70096408"/>
    <w:rsid w:val="700A0350"/>
    <w:rsid w:val="70413EC0"/>
    <w:rsid w:val="70A96F42"/>
    <w:rsid w:val="7159741C"/>
    <w:rsid w:val="7238071C"/>
    <w:rsid w:val="736F7463"/>
    <w:rsid w:val="73780682"/>
    <w:rsid w:val="74116732"/>
    <w:rsid w:val="746A0074"/>
    <w:rsid w:val="74B9247B"/>
    <w:rsid w:val="74FA0623"/>
    <w:rsid w:val="75080CDA"/>
    <w:rsid w:val="7538098E"/>
    <w:rsid w:val="75630BE8"/>
    <w:rsid w:val="75780E41"/>
    <w:rsid w:val="75A80B03"/>
    <w:rsid w:val="75DE7CE5"/>
    <w:rsid w:val="75EB2744"/>
    <w:rsid w:val="75EB62B7"/>
    <w:rsid w:val="769F1A90"/>
    <w:rsid w:val="770000E4"/>
    <w:rsid w:val="77435699"/>
    <w:rsid w:val="77486CE8"/>
    <w:rsid w:val="776D5D02"/>
    <w:rsid w:val="77BE2959"/>
    <w:rsid w:val="77FC03C5"/>
    <w:rsid w:val="7862402C"/>
    <w:rsid w:val="78F63648"/>
    <w:rsid w:val="790C3BA1"/>
    <w:rsid w:val="79492020"/>
    <w:rsid w:val="79531D46"/>
    <w:rsid w:val="7969260B"/>
    <w:rsid w:val="79AC6238"/>
    <w:rsid w:val="79B06CAE"/>
    <w:rsid w:val="79BB34A9"/>
    <w:rsid w:val="79C8222E"/>
    <w:rsid w:val="79D35895"/>
    <w:rsid w:val="7A594856"/>
    <w:rsid w:val="7A692380"/>
    <w:rsid w:val="7A6B6CB7"/>
    <w:rsid w:val="7A876319"/>
    <w:rsid w:val="7B0F2DEC"/>
    <w:rsid w:val="7B206C56"/>
    <w:rsid w:val="7B28072C"/>
    <w:rsid w:val="7B461C3C"/>
    <w:rsid w:val="7B6C0DEB"/>
    <w:rsid w:val="7BF4258F"/>
    <w:rsid w:val="7BFF5EC3"/>
    <w:rsid w:val="7C2E5B54"/>
    <w:rsid w:val="7C67300E"/>
    <w:rsid w:val="7C7A153E"/>
    <w:rsid w:val="7D056BA5"/>
    <w:rsid w:val="7D1D2A92"/>
    <w:rsid w:val="7D8F1275"/>
    <w:rsid w:val="7DCF2E9F"/>
    <w:rsid w:val="7DD1034D"/>
    <w:rsid w:val="7E216782"/>
    <w:rsid w:val="7E297EAE"/>
    <w:rsid w:val="7E700C3E"/>
    <w:rsid w:val="7EA756FD"/>
    <w:rsid w:val="7F5F3EE3"/>
    <w:rsid w:val="7F9A326E"/>
    <w:rsid w:val="7FDF757D"/>
    <w:rsid w:val="7FF8100E"/>
    <w:rsid w:val="BED75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32"/>
    <w:qFormat/>
    <w:uiPriority w:val="0"/>
    <w:pPr>
      <w:keepNext/>
      <w:keepLines/>
      <w:widowControl/>
      <w:ind w:firstLine="200"/>
      <w:jc w:val="left"/>
      <w:outlineLvl w:val="0"/>
    </w:pPr>
    <w:rPr>
      <w:rFonts w:eastAsia="黑体"/>
      <w:kern w:val="44"/>
    </w:rPr>
  </w:style>
  <w:style w:type="paragraph" w:styleId="3">
    <w:name w:val="heading 2"/>
    <w:basedOn w:val="1"/>
    <w:next w:val="1"/>
    <w:link w:val="33"/>
    <w:unhideWhenUsed/>
    <w:qFormat/>
    <w:uiPriority w:val="0"/>
    <w:pPr>
      <w:keepNext/>
      <w:keepLines/>
      <w:outlineLvl w:val="1"/>
    </w:pPr>
    <w:rPr>
      <w:rFonts w:eastAsia="楷体_GB2312"/>
      <w:b/>
      <w:bCs/>
    </w:rPr>
  </w:style>
  <w:style w:type="paragraph" w:styleId="4">
    <w:name w:val="heading 3"/>
    <w:basedOn w:val="1"/>
    <w:next w:val="1"/>
    <w:link w:val="34"/>
    <w:unhideWhenUsed/>
    <w:qFormat/>
    <w:uiPriority w:val="0"/>
    <w:pPr>
      <w:jc w:val="left"/>
      <w:outlineLvl w:val="2"/>
    </w:pPr>
    <w:rPr>
      <w:rFonts w:hint="eastAsia"/>
      <w:b/>
      <w:bCs/>
      <w:kern w:val="0"/>
    </w:rPr>
  </w:style>
  <w:style w:type="paragraph" w:styleId="5">
    <w:name w:val="heading 4"/>
    <w:basedOn w:val="1"/>
    <w:next w:val="1"/>
    <w:autoRedefine/>
    <w:unhideWhenUsed/>
    <w:qFormat/>
    <w:uiPriority w:val="0"/>
    <w:pPr>
      <w:keepNext/>
      <w:keepLines/>
      <w:numPr>
        <w:ilvl w:val="3"/>
        <w:numId w:val="1"/>
      </w:numPr>
      <w:spacing w:line="360" w:lineRule="auto"/>
      <w:ind w:firstLineChars="0"/>
      <w:outlineLvl w:val="3"/>
    </w:pPr>
    <w:rPr>
      <w:rFonts w:ascii="仿宋_GB2312" w:hAnsi="仿宋_GB2312"/>
    </w:rPr>
  </w:style>
  <w:style w:type="paragraph" w:styleId="6">
    <w:name w:val="heading 5"/>
    <w:basedOn w:val="1"/>
    <w:next w:val="1"/>
    <w:autoRedefine/>
    <w:unhideWhenUsed/>
    <w:qFormat/>
    <w:uiPriority w:val="0"/>
    <w:pPr>
      <w:keepNext/>
      <w:keepLines/>
      <w:numPr>
        <w:ilvl w:val="4"/>
        <w:numId w:val="2"/>
      </w:numPr>
      <w:spacing w:before="280" w:after="290" w:line="372" w:lineRule="auto"/>
      <w:ind w:firstLineChars="0"/>
      <w:outlineLvl w:val="4"/>
    </w:pPr>
    <w:rPr>
      <w:b/>
      <w:sz w:val="28"/>
    </w:rPr>
  </w:style>
  <w:style w:type="paragraph" w:styleId="7">
    <w:name w:val="heading 6"/>
    <w:basedOn w:val="1"/>
    <w:next w:val="1"/>
    <w:autoRedefine/>
    <w:unhideWhenUsed/>
    <w:qFormat/>
    <w:uiPriority w:val="0"/>
    <w:pPr>
      <w:keepNext/>
      <w:keepLines/>
      <w:numPr>
        <w:ilvl w:val="5"/>
        <w:numId w:val="2"/>
      </w:numPr>
      <w:spacing w:before="240" w:after="64" w:line="317" w:lineRule="auto"/>
      <w:ind w:firstLineChars="0"/>
      <w:outlineLvl w:val="5"/>
    </w:pPr>
    <w:rPr>
      <w:rFonts w:ascii="Arial" w:hAnsi="Arial" w:eastAsia="黑体"/>
      <w:b/>
      <w:sz w:val="24"/>
    </w:rPr>
  </w:style>
  <w:style w:type="paragraph" w:styleId="8">
    <w:name w:val="heading 7"/>
    <w:basedOn w:val="1"/>
    <w:next w:val="1"/>
    <w:autoRedefine/>
    <w:unhideWhenUsed/>
    <w:qFormat/>
    <w:uiPriority w:val="0"/>
    <w:pPr>
      <w:keepNext/>
      <w:keepLines/>
      <w:numPr>
        <w:ilvl w:val="6"/>
        <w:numId w:val="2"/>
      </w:numPr>
      <w:spacing w:before="240" w:after="64" w:line="317" w:lineRule="auto"/>
      <w:ind w:firstLineChars="0"/>
      <w:outlineLvl w:val="6"/>
    </w:pPr>
    <w:rPr>
      <w:b/>
      <w:sz w:val="24"/>
    </w:rPr>
  </w:style>
  <w:style w:type="paragraph" w:styleId="9">
    <w:name w:val="heading 8"/>
    <w:basedOn w:val="1"/>
    <w:next w:val="1"/>
    <w:autoRedefine/>
    <w:unhideWhenUsed/>
    <w:qFormat/>
    <w:uiPriority w:val="0"/>
    <w:pPr>
      <w:keepNext/>
      <w:keepLines/>
      <w:numPr>
        <w:ilvl w:val="7"/>
        <w:numId w:val="2"/>
      </w:numPr>
      <w:spacing w:before="240" w:after="64" w:line="317" w:lineRule="auto"/>
      <w:ind w:firstLineChars="0"/>
      <w:outlineLvl w:val="7"/>
    </w:pPr>
    <w:rPr>
      <w:rFonts w:ascii="Arial" w:hAnsi="Arial" w:eastAsia="黑体"/>
      <w:sz w:val="24"/>
    </w:rPr>
  </w:style>
  <w:style w:type="paragraph" w:styleId="10">
    <w:name w:val="heading 9"/>
    <w:basedOn w:val="1"/>
    <w:next w:val="1"/>
    <w:autoRedefine/>
    <w:unhideWhenUsed/>
    <w:qFormat/>
    <w:uiPriority w:val="0"/>
    <w:pPr>
      <w:keepNext/>
      <w:keepLines/>
      <w:numPr>
        <w:ilvl w:val="8"/>
        <w:numId w:val="2"/>
      </w:numPr>
      <w:spacing w:before="240" w:after="64" w:line="317" w:lineRule="auto"/>
      <w:ind w:firstLineChars="0"/>
      <w:outlineLvl w:val="8"/>
    </w:pPr>
    <w:rPr>
      <w:rFonts w:ascii="Arial" w:hAnsi="Arial" w:eastAsia="黑体"/>
      <w:sz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autoRedefine/>
    <w:qFormat/>
    <w:uiPriority w:val="0"/>
    <w:pPr>
      <w:ind w:firstLine="420"/>
    </w:pPr>
  </w:style>
  <w:style w:type="paragraph" w:styleId="12">
    <w:name w:val="toa heading"/>
    <w:basedOn w:val="1"/>
    <w:next w:val="1"/>
    <w:autoRedefine/>
    <w:qFormat/>
    <w:uiPriority w:val="0"/>
    <w:pPr>
      <w:spacing w:before="120"/>
    </w:pPr>
    <w:rPr>
      <w:rFonts w:ascii="Arial" w:hAnsi="Arial"/>
      <w:sz w:val="24"/>
    </w:rPr>
  </w:style>
  <w:style w:type="paragraph" w:styleId="13">
    <w:name w:val="annotation text"/>
    <w:basedOn w:val="1"/>
    <w:link w:val="35"/>
    <w:autoRedefine/>
    <w:qFormat/>
    <w:uiPriority w:val="0"/>
    <w:pPr>
      <w:jc w:val="left"/>
    </w:pPr>
  </w:style>
  <w:style w:type="paragraph" w:styleId="14">
    <w:name w:val="Body Text"/>
    <w:link w:val="36"/>
    <w:autoRedefine/>
    <w:qFormat/>
    <w:uiPriority w:val="0"/>
    <w:pPr>
      <w:widowControl w:val="0"/>
      <w:spacing w:after="40" w:line="276" w:lineRule="auto"/>
      <w:ind w:firstLine="560" w:firstLineChars="200"/>
      <w:jc w:val="both"/>
    </w:pPr>
    <w:rPr>
      <w:rFonts w:ascii="Times New Roman" w:hAnsi="Times New Roman" w:eastAsia="仿宋_GB2312" w:cs="Times New Roman"/>
      <w:kern w:val="2"/>
      <w:sz w:val="32"/>
      <w:szCs w:val="32"/>
      <w:lang w:val="en-US" w:eastAsia="zh-CN" w:bidi="ar-SA"/>
    </w:rPr>
  </w:style>
  <w:style w:type="paragraph" w:styleId="15">
    <w:name w:val="Date"/>
    <w:basedOn w:val="1"/>
    <w:next w:val="1"/>
    <w:link w:val="37"/>
    <w:autoRedefine/>
    <w:qFormat/>
    <w:uiPriority w:val="0"/>
    <w:pPr>
      <w:ind w:left="100" w:leftChars="2500"/>
    </w:pPr>
  </w:style>
  <w:style w:type="paragraph" w:styleId="16">
    <w:name w:val="Balloon Text"/>
    <w:basedOn w:val="1"/>
    <w:link w:val="38"/>
    <w:autoRedefine/>
    <w:qFormat/>
    <w:uiPriority w:val="0"/>
    <w:rPr>
      <w:sz w:val="18"/>
      <w:szCs w:val="18"/>
    </w:rPr>
  </w:style>
  <w:style w:type="paragraph" w:styleId="17">
    <w:name w:val="footer"/>
    <w:basedOn w:val="1"/>
    <w:link w:val="39"/>
    <w:autoRedefine/>
    <w:qFormat/>
    <w:uiPriority w:val="99"/>
    <w:pPr>
      <w:tabs>
        <w:tab w:val="center" w:pos="4153"/>
        <w:tab w:val="right" w:pos="8306"/>
      </w:tabs>
      <w:snapToGrid w:val="0"/>
      <w:jc w:val="left"/>
    </w:pPr>
    <w:rPr>
      <w:sz w:val="18"/>
    </w:rPr>
  </w:style>
  <w:style w:type="paragraph" w:styleId="18">
    <w:name w:val="header"/>
    <w:basedOn w:val="1"/>
    <w:link w:val="40"/>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autoRedefine/>
    <w:qFormat/>
    <w:uiPriority w:val="39"/>
    <w:pPr>
      <w:tabs>
        <w:tab w:val="right" w:leader="dot" w:pos="8296"/>
      </w:tabs>
      <w:ind w:firstLine="0" w:firstLineChars="0"/>
      <w:jc w:val="left"/>
    </w:pPr>
    <w:rPr>
      <w:rFonts w:ascii="仿宋_GB2312"/>
      <w:b/>
      <w:bCs/>
      <w:sz w:val="30"/>
      <w:szCs w:val="30"/>
    </w:rPr>
  </w:style>
  <w:style w:type="paragraph" w:styleId="20">
    <w:name w:val="footnote text"/>
    <w:basedOn w:val="1"/>
    <w:link w:val="41"/>
    <w:autoRedefine/>
    <w:unhideWhenUsed/>
    <w:qFormat/>
    <w:uiPriority w:val="99"/>
    <w:pPr>
      <w:snapToGrid w:val="0"/>
      <w:ind w:firstLine="0" w:firstLineChars="0"/>
      <w:jc w:val="left"/>
    </w:pPr>
    <w:rPr>
      <w:rFonts w:ascii="Calibri" w:hAnsi="Calibri" w:eastAsia="宋体" w:cs="宋体"/>
      <w:sz w:val="18"/>
      <w:szCs w:val="18"/>
    </w:rPr>
  </w:style>
  <w:style w:type="paragraph" w:styleId="21">
    <w:name w:val="toc 2"/>
    <w:basedOn w:val="1"/>
    <w:next w:val="1"/>
    <w:autoRedefine/>
    <w:qFormat/>
    <w:uiPriority w:val="39"/>
    <w:pPr>
      <w:ind w:firstLine="0" w:firstLineChars="0"/>
      <w:jc w:val="left"/>
    </w:pPr>
  </w:style>
  <w:style w:type="paragraph" w:styleId="22">
    <w:name w:val="Title"/>
    <w:basedOn w:val="4"/>
    <w:next w:val="1"/>
    <w:autoRedefine/>
    <w:qFormat/>
    <w:uiPriority w:val="0"/>
    <w:pPr>
      <w:numPr>
        <w:ilvl w:val="0"/>
        <w:numId w:val="1"/>
      </w:numPr>
      <w:ind w:firstLineChars="0"/>
      <w:jc w:val="center"/>
    </w:pPr>
    <w:rPr>
      <w:rFonts w:eastAsia="黑体"/>
      <w:b w:val="0"/>
      <w:sz w:val="36"/>
    </w:rPr>
  </w:style>
  <w:style w:type="paragraph" w:styleId="23">
    <w:name w:val="annotation subject"/>
    <w:basedOn w:val="13"/>
    <w:next w:val="13"/>
    <w:link w:val="42"/>
    <w:autoRedefine/>
    <w:qFormat/>
    <w:uiPriority w:val="0"/>
    <w:rPr>
      <w:b/>
      <w:bCs/>
    </w:rPr>
  </w:style>
  <w:style w:type="table" w:styleId="25">
    <w:name w:val="Table Grid"/>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autoRedefine/>
    <w:qFormat/>
    <w:uiPriority w:val="0"/>
    <w:rPr>
      <w:color w:val="954F72"/>
      <w:u w:val="single"/>
    </w:rPr>
  </w:style>
  <w:style w:type="character" w:styleId="28">
    <w:name w:val="Emphasis"/>
    <w:basedOn w:val="26"/>
    <w:autoRedefine/>
    <w:qFormat/>
    <w:uiPriority w:val="20"/>
    <w:rPr>
      <w:i/>
      <w:iCs/>
    </w:rPr>
  </w:style>
  <w:style w:type="character" w:styleId="29">
    <w:name w:val="Hyperlink"/>
    <w:basedOn w:val="26"/>
    <w:autoRedefine/>
    <w:unhideWhenUsed/>
    <w:qFormat/>
    <w:uiPriority w:val="99"/>
    <w:rPr>
      <w:color w:val="0563C1"/>
      <w:u w:val="single"/>
    </w:rPr>
  </w:style>
  <w:style w:type="character" w:styleId="30">
    <w:name w:val="annotation reference"/>
    <w:basedOn w:val="26"/>
    <w:autoRedefine/>
    <w:qFormat/>
    <w:uiPriority w:val="0"/>
    <w:rPr>
      <w:sz w:val="21"/>
      <w:szCs w:val="21"/>
    </w:rPr>
  </w:style>
  <w:style w:type="character" w:styleId="31">
    <w:name w:val="footnote reference"/>
    <w:basedOn w:val="26"/>
    <w:autoRedefine/>
    <w:unhideWhenUsed/>
    <w:qFormat/>
    <w:uiPriority w:val="99"/>
    <w:rPr>
      <w:vertAlign w:val="superscript"/>
    </w:rPr>
  </w:style>
  <w:style w:type="character" w:customStyle="1" w:styleId="32">
    <w:name w:val="标题 1 字符"/>
    <w:basedOn w:val="26"/>
    <w:link w:val="2"/>
    <w:autoRedefine/>
    <w:qFormat/>
    <w:uiPriority w:val="0"/>
    <w:rPr>
      <w:rFonts w:ascii="Times New Roman" w:hAnsi="Times New Roman" w:eastAsia="黑体"/>
      <w:kern w:val="44"/>
      <w:sz w:val="32"/>
      <w:szCs w:val="32"/>
    </w:rPr>
  </w:style>
  <w:style w:type="character" w:customStyle="1" w:styleId="33">
    <w:name w:val="标题 2 字符"/>
    <w:link w:val="3"/>
    <w:autoRedefine/>
    <w:qFormat/>
    <w:uiPriority w:val="0"/>
    <w:rPr>
      <w:rFonts w:ascii="Times New Roman" w:hAnsi="Times New Roman" w:eastAsia="楷体_GB2312" w:cs="Times New Roman"/>
      <w:sz w:val="32"/>
      <w:szCs w:val="22"/>
    </w:rPr>
  </w:style>
  <w:style w:type="character" w:customStyle="1" w:styleId="34">
    <w:name w:val="标题 3 字符"/>
    <w:link w:val="4"/>
    <w:autoRedefine/>
    <w:qFormat/>
    <w:uiPriority w:val="0"/>
    <w:rPr>
      <w:rFonts w:ascii="Times New Roman" w:hAnsi="Times New Roman" w:eastAsia="仿宋_GB2312" w:cs="Times New Roman"/>
      <w:b/>
      <w:szCs w:val="24"/>
      <w:lang w:bidi="ar"/>
    </w:rPr>
  </w:style>
  <w:style w:type="character" w:customStyle="1" w:styleId="35">
    <w:name w:val="批注文字 字符"/>
    <w:basedOn w:val="26"/>
    <w:link w:val="13"/>
    <w:autoRedefine/>
    <w:qFormat/>
    <w:uiPriority w:val="0"/>
    <w:rPr>
      <w:rFonts w:eastAsia="仿宋_GB2312" w:cs="Times New Roman"/>
      <w:kern w:val="2"/>
      <w:sz w:val="32"/>
      <w:szCs w:val="32"/>
    </w:rPr>
  </w:style>
  <w:style w:type="character" w:customStyle="1" w:styleId="36">
    <w:name w:val="正文文本 字符"/>
    <w:basedOn w:val="26"/>
    <w:link w:val="14"/>
    <w:autoRedefine/>
    <w:qFormat/>
    <w:uiPriority w:val="0"/>
    <w:rPr>
      <w:rFonts w:eastAsia="仿宋_GB2312" w:cs="Times New Roman"/>
      <w:kern w:val="2"/>
      <w:sz w:val="32"/>
      <w:szCs w:val="32"/>
    </w:rPr>
  </w:style>
  <w:style w:type="character" w:customStyle="1" w:styleId="37">
    <w:name w:val="日期 字符"/>
    <w:basedOn w:val="26"/>
    <w:link w:val="15"/>
    <w:autoRedefine/>
    <w:qFormat/>
    <w:uiPriority w:val="0"/>
    <w:rPr>
      <w:rFonts w:eastAsia="仿宋_GB2312" w:cs="Times New Roman"/>
      <w:kern w:val="2"/>
      <w:sz w:val="32"/>
      <w:szCs w:val="32"/>
    </w:rPr>
  </w:style>
  <w:style w:type="character" w:customStyle="1" w:styleId="38">
    <w:name w:val="批注框文本 字符"/>
    <w:basedOn w:val="26"/>
    <w:link w:val="16"/>
    <w:autoRedefine/>
    <w:qFormat/>
    <w:uiPriority w:val="0"/>
    <w:rPr>
      <w:rFonts w:eastAsia="仿宋_GB2312" w:cs="Times New Roman"/>
      <w:kern w:val="2"/>
      <w:sz w:val="18"/>
      <w:szCs w:val="18"/>
    </w:rPr>
  </w:style>
  <w:style w:type="character" w:customStyle="1" w:styleId="39">
    <w:name w:val="页脚 字符"/>
    <w:basedOn w:val="26"/>
    <w:link w:val="17"/>
    <w:autoRedefine/>
    <w:qFormat/>
    <w:uiPriority w:val="99"/>
    <w:rPr>
      <w:rFonts w:eastAsia="仿宋_GB2312" w:cs="Times New Roman"/>
      <w:kern w:val="2"/>
      <w:sz w:val="18"/>
      <w:szCs w:val="32"/>
    </w:rPr>
  </w:style>
  <w:style w:type="character" w:customStyle="1" w:styleId="40">
    <w:name w:val="页眉 字符"/>
    <w:basedOn w:val="26"/>
    <w:link w:val="18"/>
    <w:autoRedefine/>
    <w:qFormat/>
    <w:uiPriority w:val="99"/>
    <w:rPr>
      <w:rFonts w:eastAsia="仿宋_GB2312" w:cs="Times New Roman"/>
      <w:kern w:val="2"/>
      <w:sz w:val="18"/>
      <w:szCs w:val="32"/>
    </w:rPr>
  </w:style>
  <w:style w:type="character" w:customStyle="1" w:styleId="41">
    <w:name w:val="脚注文本 字符"/>
    <w:basedOn w:val="26"/>
    <w:link w:val="20"/>
    <w:autoRedefine/>
    <w:qFormat/>
    <w:uiPriority w:val="99"/>
    <w:rPr>
      <w:rFonts w:ascii="Calibri" w:hAnsi="Calibri" w:cs="宋体"/>
      <w:kern w:val="2"/>
      <w:sz w:val="18"/>
      <w:szCs w:val="18"/>
    </w:rPr>
  </w:style>
  <w:style w:type="character" w:customStyle="1" w:styleId="42">
    <w:name w:val="批注主题 字符"/>
    <w:basedOn w:val="35"/>
    <w:link w:val="23"/>
    <w:autoRedefine/>
    <w:qFormat/>
    <w:uiPriority w:val="0"/>
    <w:rPr>
      <w:rFonts w:eastAsia="仿宋_GB2312" w:cs="Times New Roman"/>
      <w:b/>
      <w:bCs/>
      <w:kern w:val="2"/>
      <w:sz w:val="32"/>
      <w:szCs w:val="32"/>
    </w:rPr>
  </w:style>
  <w:style w:type="paragraph" w:customStyle="1" w:styleId="43">
    <w:name w:val="表格"/>
    <w:basedOn w:val="1"/>
    <w:link w:val="44"/>
    <w:autoRedefine/>
    <w:qFormat/>
    <w:uiPriority w:val="0"/>
    <w:pPr>
      <w:ind w:firstLine="0" w:firstLineChars="0"/>
    </w:pPr>
    <w:rPr>
      <w:rFonts w:ascii="仿宋GB2312" w:hAnsi="仿宋GB2312"/>
      <w:sz w:val="24"/>
      <w:szCs w:val="28"/>
    </w:rPr>
  </w:style>
  <w:style w:type="character" w:customStyle="1" w:styleId="44">
    <w:name w:val="表格 Char"/>
    <w:link w:val="43"/>
    <w:autoRedefine/>
    <w:qFormat/>
    <w:uiPriority w:val="0"/>
    <w:rPr>
      <w:rFonts w:ascii="仿宋GB2312" w:hAnsi="仿宋GB2312"/>
      <w:sz w:val="24"/>
      <w:szCs w:val="28"/>
    </w:rPr>
  </w:style>
  <w:style w:type="paragraph" w:customStyle="1" w:styleId="45">
    <w:name w:val="中大表格"/>
    <w:basedOn w:val="1"/>
    <w:link w:val="46"/>
    <w:autoRedefine/>
    <w:qFormat/>
    <w:uiPriority w:val="0"/>
    <w:pPr>
      <w:ind w:firstLine="0" w:firstLineChars="0"/>
    </w:pPr>
    <w:rPr>
      <w:rFonts w:hint="eastAsia"/>
      <w:sz w:val="24"/>
    </w:rPr>
  </w:style>
  <w:style w:type="character" w:customStyle="1" w:styleId="46">
    <w:name w:val="中大表格 Char"/>
    <w:link w:val="45"/>
    <w:autoRedefine/>
    <w:qFormat/>
    <w:uiPriority w:val="0"/>
    <w:rPr>
      <w:rFonts w:hint="eastAsia" w:ascii="Times New Roman" w:hAnsi="Times New Roman" w:eastAsia="仿宋_GB2312" w:cs="Times New Roman"/>
      <w:sz w:val="24"/>
    </w:rPr>
  </w:style>
  <w:style w:type="paragraph" w:customStyle="1" w:styleId="47">
    <w:name w:val="中大标题"/>
    <w:basedOn w:val="1"/>
    <w:next w:val="1"/>
    <w:autoRedefine/>
    <w:qFormat/>
    <w:uiPriority w:val="0"/>
    <w:pPr>
      <w:ind w:firstLine="0" w:firstLineChars="0"/>
      <w:jc w:val="center"/>
    </w:pPr>
    <w:rPr>
      <w:rFonts w:hint="eastAsia" w:ascii="方正小标宋简体" w:hAnsi="方正小标宋简体" w:eastAsia="方正小标宋简体" w:cs="方正小标宋简体"/>
      <w:sz w:val="36"/>
      <w:szCs w:val="44"/>
    </w:rPr>
  </w:style>
  <w:style w:type="character" w:customStyle="1" w:styleId="48">
    <w:name w:val="表格标题"/>
    <w:basedOn w:val="26"/>
    <w:autoRedefine/>
    <w:qFormat/>
    <w:uiPriority w:val="0"/>
    <w:rPr>
      <w:rFonts w:ascii="Times New Roman" w:hAnsi="Times New Roman" w:eastAsia="黑体" w:cs="Times New Roman"/>
      <w:color w:val="000000"/>
      <w:sz w:val="28"/>
      <w:szCs w:val="28"/>
    </w:rPr>
  </w:style>
  <w:style w:type="paragraph" w:customStyle="1" w:styleId="49">
    <w:name w:val="表格内容"/>
    <w:basedOn w:val="1"/>
    <w:next w:val="45"/>
    <w:autoRedefine/>
    <w:qFormat/>
    <w:uiPriority w:val="0"/>
    <w:pPr>
      <w:widowControl/>
      <w:adjustRightInd w:val="0"/>
      <w:snapToGrid w:val="0"/>
      <w:ind w:firstLine="0" w:firstLineChars="0"/>
      <w:jc w:val="left"/>
    </w:pPr>
    <w:rPr>
      <w:rFonts w:hint="eastAsia"/>
      <w:kern w:val="0"/>
      <w:sz w:val="24"/>
      <w:szCs w:val="24"/>
    </w:rPr>
  </w:style>
  <w:style w:type="paragraph" w:styleId="50">
    <w:name w:val="List Paragraph"/>
    <w:basedOn w:val="1"/>
    <w:next w:val="45"/>
    <w:autoRedefine/>
    <w:qFormat/>
    <w:uiPriority w:val="34"/>
    <w:pPr>
      <w:ind w:firstLine="420"/>
    </w:pPr>
  </w:style>
  <w:style w:type="table" w:customStyle="1" w:styleId="51">
    <w:name w:val="Table Normal"/>
    <w:autoRedefine/>
    <w:unhideWhenUsed/>
    <w:qFormat/>
    <w:uiPriority w:val="0"/>
    <w:tblPr>
      <w:tblCellMar>
        <w:top w:w="0" w:type="dxa"/>
        <w:left w:w="0" w:type="dxa"/>
        <w:bottom w:w="0" w:type="dxa"/>
        <w:right w:w="0" w:type="dxa"/>
      </w:tblCellMar>
    </w:tblPr>
  </w:style>
  <w:style w:type="character" w:customStyle="1" w:styleId="52">
    <w:name w:val="font21"/>
    <w:basedOn w:val="26"/>
    <w:autoRedefine/>
    <w:qFormat/>
    <w:uiPriority w:val="0"/>
    <w:rPr>
      <w:rFonts w:hint="eastAsia" w:ascii="仿宋_GB2312" w:eastAsia="仿宋_GB2312" w:cs="仿宋_GB2312"/>
      <w:color w:val="000000"/>
      <w:sz w:val="22"/>
      <w:szCs w:val="22"/>
      <w:u w:val="none"/>
    </w:rPr>
  </w:style>
  <w:style w:type="character" w:customStyle="1" w:styleId="53">
    <w:name w:val="font41"/>
    <w:basedOn w:val="26"/>
    <w:autoRedefine/>
    <w:qFormat/>
    <w:uiPriority w:val="0"/>
    <w:rPr>
      <w:rFonts w:hint="eastAsia" w:ascii="仿宋_GB2312" w:eastAsia="仿宋_GB2312" w:cs="仿宋_GB2312"/>
      <w:b/>
      <w:bCs/>
      <w:color w:val="000000"/>
      <w:sz w:val="22"/>
      <w:szCs w:val="22"/>
      <w:u w:val="none"/>
    </w:rPr>
  </w:style>
  <w:style w:type="character" w:customStyle="1" w:styleId="54">
    <w:name w:val="font31"/>
    <w:basedOn w:val="26"/>
    <w:autoRedefine/>
    <w:qFormat/>
    <w:uiPriority w:val="0"/>
    <w:rPr>
      <w:rFonts w:hint="default" w:ascii="Times New Roman" w:hAnsi="Times New Roman" w:cs="Times New Roman"/>
      <w:color w:val="000000"/>
      <w:sz w:val="22"/>
      <w:szCs w:val="22"/>
      <w:u w:val="none"/>
    </w:rPr>
  </w:style>
  <w:style w:type="character" w:customStyle="1" w:styleId="55">
    <w:name w:val="font11"/>
    <w:basedOn w:val="26"/>
    <w:autoRedefine/>
    <w:qFormat/>
    <w:uiPriority w:val="0"/>
    <w:rPr>
      <w:rFonts w:hint="default" w:ascii="Times New Roman" w:hAnsi="Times New Roman" w:cs="Times New Roman"/>
      <w:color w:val="000000"/>
      <w:sz w:val="22"/>
      <w:szCs w:val="22"/>
      <w:u w:val="none"/>
    </w:rPr>
  </w:style>
  <w:style w:type="character" w:customStyle="1" w:styleId="56">
    <w:name w:val="font51"/>
    <w:basedOn w:val="26"/>
    <w:autoRedefine/>
    <w:qFormat/>
    <w:uiPriority w:val="0"/>
    <w:rPr>
      <w:rFonts w:hint="eastAsia" w:ascii="仿宋_GB2312" w:eastAsia="仿宋_GB2312" w:cs="仿宋_GB2312"/>
      <w:color w:val="000000"/>
      <w:sz w:val="22"/>
      <w:szCs w:val="22"/>
      <w:u w:val="none"/>
    </w:rPr>
  </w:style>
  <w:style w:type="character" w:customStyle="1" w:styleId="57">
    <w:name w:val="font81"/>
    <w:basedOn w:val="26"/>
    <w:autoRedefine/>
    <w:qFormat/>
    <w:uiPriority w:val="0"/>
    <w:rPr>
      <w:rFonts w:hint="default" w:ascii="Times New Roman" w:hAnsi="Times New Roman" w:cs="Times New Roman"/>
      <w:color w:val="000000"/>
      <w:sz w:val="24"/>
      <w:szCs w:val="24"/>
      <w:u w:val="none"/>
    </w:rPr>
  </w:style>
  <w:style w:type="character" w:customStyle="1" w:styleId="58">
    <w:name w:val="font61"/>
    <w:basedOn w:val="26"/>
    <w:autoRedefine/>
    <w:qFormat/>
    <w:uiPriority w:val="0"/>
    <w:rPr>
      <w:rFonts w:hint="default" w:ascii="Times New Roman" w:hAnsi="Times New Roman" w:cs="Times New Roman"/>
      <w:color w:val="FF0000"/>
      <w:sz w:val="24"/>
      <w:szCs w:val="24"/>
      <w:u w:val="none"/>
    </w:rPr>
  </w:style>
  <w:style w:type="paragraph" w:customStyle="1" w:styleId="59">
    <w:name w:val="安策封面项目信息"/>
    <w:basedOn w:val="1"/>
    <w:next w:val="60"/>
    <w:autoRedefine/>
    <w:qFormat/>
    <w:uiPriority w:val="0"/>
    <w:pPr>
      <w:spacing w:before="120"/>
      <w:ind w:left="800" w:leftChars="800" w:firstLine="0" w:firstLineChars="0"/>
      <w:jc w:val="left"/>
    </w:pPr>
    <w:rPr>
      <w:rFonts w:eastAsia="黑体"/>
      <w:kern w:val="0"/>
      <w:sz w:val="28"/>
      <w:szCs w:val="28"/>
      <w:lang w:val="zh-CN"/>
    </w:rPr>
  </w:style>
  <w:style w:type="paragraph" w:customStyle="1" w:styleId="60">
    <w:name w:val="安策封面完成时间"/>
    <w:basedOn w:val="59"/>
    <w:autoRedefine/>
    <w:qFormat/>
    <w:uiPriority w:val="0"/>
    <w:pPr>
      <w:ind w:left="0" w:leftChars="0"/>
      <w:jc w:val="center"/>
    </w:pPr>
    <w:rPr>
      <w:b/>
    </w:rPr>
  </w:style>
  <w:style w:type="paragraph" w:customStyle="1" w:styleId="61">
    <w:name w:val="安策页码"/>
    <w:autoRedefine/>
    <w:qFormat/>
    <w:uiPriority w:val="6"/>
    <w:pPr>
      <w:jc w:val="center"/>
    </w:pPr>
    <w:rPr>
      <w:rFonts w:ascii="Times New Roman" w:hAnsi="Times New Roman" w:eastAsia="Times New Roman" w:cs="Times New Roman"/>
      <w:sz w:val="21"/>
      <w:szCs w:val="28"/>
      <w:lang w:val="en-US" w:eastAsia="zh-CN" w:bidi="ar-SA"/>
    </w:rPr>
  </w:style>
  <w:style w:type="paragraph" w:styleId="62">
    <w:name w:val="No Spacing"/>
    <w:basedOn w:val="1"/>
    <w:autoRedefine/>
    <w:qFormat/>
    <w:uiPriority w:val="0"/>
    <w:pPr>
      <w:autoSpaceDE w:val="0"/>
      <w:autoSpaceDN w:val="0"/>
      <w:spacing w:line="360" w:lineRule="auto"/>
      <w:ind w:firstLine="200"/>
    </w:pPr>
    <w:rPr>
      <w:rFonts w:ascii="宋体" w:hAnsi="宋体" w:eastAsia="宋体" w:cs="宋体"/>
      <w:kern w:val="0"/>
      <w:sz w:val="22"/>
      <w:szCs w:val="22"/>
      <w:lang w:val="zh-CN" w:bidi="zh-CN"/>
    </w:rPr>
  </w:style>
  <w:style w:type="paragraph" w:customStyle="1" w:styleId="63">
    <w:name w:val="安策正文"/>
    <w:basedOn w:val="1"/>
    <w:link w:val="64"/>
    <w:autoRedefine/>
    <w:qFormat/>
    <w:uiPriority w:val="3"/>
    <w:pPr>
      <w:spacing w:line="560" w:lineRule="exact"/>
      <w:ind w:firstLine="560"/>
    </w:pPr>
    <w:rPr>
      <w:kern w:val="0"/>
    </w:rPr>
  </w:style>
  <w:style w:type="character" w:customStyle="1" w:styleId="64">
    <w:name w:val="闻政正文 Char"/>
    <w:link w:val="63"/>
    <w:autoRedefine/>
    <w:qFormat/>
    <w:uiPriority w:val="0"/>
    <w:rPr>
      <w:rFonts w:eastAsia="仿宋_GB2312"/>
      <w:sz w:val="32"/>
      <w:szCs w:val="32"/>
    </w:rPr>
  </w:style>
  <w:style w:type="paragraph" w:customStyle="1" w:styleId="65">
    <w:name w:val="正文文本 21"/>
    <w:basedOn w:val="1"/>
    <w:autoRedefine/>
    <w:qFormat/>
    <w:uiPriority w:val="0"/>
    <w:pPr>
      <w:spacing w:line="480" w:lineRule="auto"/>
      <w:ind w:firstLine="0" w:firstLineChars="0"/>
    </w:pPr>
    <w:rPr>
      <w:rFonts w:ascii="Calibri" w:hAnsi="Calibri" w:eastAsia="宋体" w:cs="宋体"/>
      <w:sz w:val="21"/>
      <w:szCs w:val="24"/>
    </w:rPr>
  </w:style>
  <w:style w:type="paragraph" w:customStyle="1" w:styleId="66">
    <w:name w:val="Default"/>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table" w:customStyle="1" w:styleId="67">
    <w:name w:val="网格型1"/>
    <w:basedOn w:val="24"/>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2"/>
    <w:basedOn w:val="24"/>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WPSOffice手动目录 1"/>
    <w:autoRedefine/>
    <w:qFormat/>
    <w:uiPriority w:val="0"/>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71">
    <w:name w:val="font141"/>
    <w:basedOn w:val="26"/>
    <w:autoRedefine/>
    <w:qFormat/>
    <w:uiPriority w:val="0"/>
    <w:rPr>
      <w:rFonts w:hint="eastAsia" w:ascii="仿宋_GB2312" w:eastAsia="仿宋_GB2312" w:cs="仿宋_GB2312"/>
      <w:b/>
      <w:bCs/>
      <w:color w:val="0066CC"/>
      <w:sz w:val="22"/>
      <w:szCs w:val="22"/>
      <w:u w:val="none"/>
    </w:rPr>
  </w:style>
  <w:style w:type="character" w:customStyle="1" w:styleId="72">
    <w:name w:val="font131"/>
    <w:basedOn w:val="26"/>
    <w:autoRedefine/>
    <w:qFormat/>
    <w:uiPriority w:val="0"/>
    <w:rPr>
      <w:rFonts w:hint="eastAsia" w:ascii="仿宋_GB2312" w:eastAsia="仿宋_GB2312" w:cs="仿宋_GB2312"/>
      <w:color w:val="000000"/>
      <w:sz w:val="22"/>
      <w:szCs w:val="22"/>
      <w:u w:val="none"/>
    </w:rPr>
  </w:style>
  <w:style w:type="character" w:customStyle="1" w:styleId="73">
    <w:name w:val="font101"/>
    <w:basedOn w:val="26"/>
    <w:autoRedefine/>
    <w:qFormat/>
    <w:uiPriority w:val="0"/>
    <w:rPr>
      <w:rFonts w:hint="eastAsia" w:ascii="仿宋_GB2312" w:eastAsia="仿宋_GB2312" w:cs="仿宋_GB2312"/>
      <w:color w:val="FF0000"/>
      <w:sz w:val="22"/>
      <w:szCs w:val="22"/>
      <w:u w:val="none"/>
    </w:rPr>
  </w:style>
  <w:style w:type="character" w:customStyle="1" w:styleId="74">
    <w:name w:val="font91"/>
    <w:basedOn w:val="26"/>
    <w:autoRedefine/>
    <w:qFormat/>
    <w:uiPriority w:val="0"/>
    <w:rPr>
      <w:rFonts w:hint="eastAsia" w:ascii="仿宋_GB2312" w:eastAsia="仿宋_GB2312" w:cs="仿宋_GB2312"/>
      <w:color w:val="000000"/>
      <w:sz w:val="22"/>
      <w:szCs w:val="22"/>
      <w:u w:val="none"/>
    </w:rPr>
  </w:style>
  <w:style w:type="character" w:customStyle="1" w:styleId="75">
    <w:name w:val="font151"/>
    <w:basedOn w:val="26"/>
    <w:autoRedefine/>
    <w:qFormat/>
    <w:uiPriority w:val="0"/>
    <w:rPr>
      <w:rFonts w:hint="eastAsia" w:ascii="仿宋_GB2312" w:eastAsia="仿宋_GB2312" w:cs="仿宋_GB2312"/>
      <w:b/>
      <w:bCs/>
      <w:color w:val="333399"/>
      <w:sz w:val="22"/>
      <w:szCs w:val="22"/>
      <w:u w:val="none"/>
    </w:rPr>
  </w:style>
  <w:style w:type="character" w:customStyle="1" w:styleId="76">
    <w:name w:val="font71"/>
    <w:basedOn w:val="26"/>
    <w:autoRedefine/>
    <w:qFormat/>
    <w:uiPriority w:val="0"/>
    <w:rPr>
      <w:rFonts w:hint="eastAsia" w:ascii="仿宋_GB2312" w:eastAsia="仿宋_GB2312" w:cs="仿宋_GB2312"/>
      <w:color w:val="FF0000"/>
      <w:sz w:val="22"/>
      <w:szCs w:val="22"/>
      <w:u w:val="none"/>
    </w:rPr>
  </w:style>
  <w:style w:type="paragraph" w:customStyle="1" w:styleId="77">
    <w:name w:val="修订1"/>
    <w:autoRedefine/>
    <w:hidden/>
    <w:semiHidden/>
    <w:qFormat/>
    <w:uiPriority w:val="99"/>
    <w:rPr>
      <w:rFonts w:ascii="Times New Roman" w:hAnsi="Times New Roman" w:eastAsia="仿宋_GB2312" w:cs="Times New Roman"/>
      <w:kern w:val="2"/>
      <w:sz w:val="32"/>
      <w:szCs w:val="32"/>
      <w:lang w:val="en-US" w:eastAsia="zh-CN" w:bidi="ar-SA"/>
    </w:rPr>
  </w:style>
  <w:style w:type="paragraph" w:customStyle="1" w:styleId="78">
    <w:name w:val="修订2"/>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79">
    <w:name w:val="修订3"/>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0">
    <w:name w:val="修订4"/>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1">
    <w:name w:val="修订5"/>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2">
    <w:name w:val="修订6"/>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3">
    <w:name w:val="修订7"/>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4">
    <w:name w:val="修订8"/>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85">
    <w:name w:val="Revision"/>
    <w:autoRedefine/>
    <w:hidden/>
    <w:unhideWhenUsed/>
    <w:qFormat/>
    <w:uiPriority w:val="99"/>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F2317E-8F40-4091-934B-4139E71F5327}">
  <ds:schemaRefs/>
</ds:datastoreItem>
</file>

<file path=docProps/app.xml><?xml version="1.0" encoding="utf-8"?>
<Properties xmlns="http://schemas.openxmlformats.org/officeDocument/2006/extended-properties" xmlns:vt="http://schemas.openxmlformats.org/officeDocument/2006/docPropsVTypes">
  <Template>Normal.dotm</Template>
  <Pages>61</Pages>
  <Words>3693</Words>
  <Characters>3940</Characters>
  <Lines>247</Lines>
  <Paragraphs>69</Paragraphs>
  <TotalTime>10</TotalTime>
  <ScaleCrop>false</ScaleCrop>
  <LinksUpToDate>false</LinksUpToDate>
  <CharactersWithSpaces>3980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2026-06-12T08:43:00Z</dcterms:created>
  <dc:creator>MP</dc:creator>
  <cp:lastModifiedBy>MP</cp:lastModifiedBy>
  <cp:lastPrinted>2024-08-20T06:11:00Z</cp:lastPrinted>
  <dcterms:modified xsi:type="dcterms:W3CDTF">2026-06-23T09:09:39Z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3974C5651EBA42748D590EA33CE85092_13</vt:lpwstr>
  </property>
  <property fmtid="{D5CDD505-2E9C-101B-9397-08002B2CF9AE}" pid="4" name="KSOTemplateDocerSaveRecord">
    <vt:lpwstr>eyJoZGlkIjoiZmMzMzZlOWMxZDM4N2VlMzc1N2M4ZjA0NjEwYjc2MjgiLCJ1c2VySWQiOiIyNjU3NjMxMTAifQ==</vt:lpwstr>
  </property>
</Properties>
</file>