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A01920">
      <w:pPr>
        <w:spacing w:beforeLines="100" w:afterLines="100" w:line="360" w:lineRule="auto"/>
        <w:jc w:val="center"/>
        <w:rPr>
          <w:rFonts w:ascii="黑体" w:hAnsi="黑体" w:eastAsia="黑体"/>
          <w:b/>
          <w:color w:val="auto"/>
          <w:spacing w:val="20"/>
          <w:sz w:val="52"/>
          <w:szCs w:val="52"/>
          <w:highlight w:val="none"/>
        </w:rPr>
      </w:pPr>
    </w:p>
    <w:p w14:paraId="509ABF05">
      <w:pPr>
        <w:spacing w:beforeLines="100" w:afterLines="100" w:line="360" w:lineRule="auto"/>
        <w:jc w:val="center"/>
        <w:rPr>
          <w:rFonts w:ascii="黑体" w:hAnsi="黑体" w:eastAsia="黑体"/>
          <w:b/>
          <w:color w:val="auto"/>
          <w:spacing w:val="20"/>
          <w:sz w:val="52"/>
          <w:szCs w:val="52"/>
          <w:highlight w:val="none"/>
        </w:rPr>
      </w:pPr>
      <w:bookmarkStart w:id="0" w:name="OLE_LINK4"/>
      <w:r>
        <w:rPr>
          <w:rFonts w:hint="eastAsia" w:ascii="黑体" w:hAnsi="黑体" w:eastAsia="黑体"/>
          <w:b/>
          <w:color w:val="auto"/>
          <w:spacing w:val="20"/>
          <w:sz w:val="52"/>
          <w:szCs w:val="52"/>
          <w:highlight w:val="none"/>
        </w:rPr>
        <w:t>财政资金保值增值项目</w:t>
      </w:r>
    </w:p>
    <w:p w14:paraId="17DF1AA7">
      <w:pPr>
        <w:spacing w:beforeLines="100" w:afterLines="100" w:line="360" w:lineRule="auto"/>
        <w:jc w:val="center"/>
        <w:rPr>
          <w:rFonts w:ascii="黑体" w:hAnsi="黑体" w:eastAsia="黑体"/>
          <w:b/>
          <w:color w:val="auto"/>
          <w:spacing w:val="20"/>
          <w:sz w:val="52"/>
          <w:szCs w:val="52"/>
          <w:highlight w:val="none"/>
        </w:rPr>
      </w:pPr>
      <w:r>
        <w:rPr>
          <w:rFonts w:hint="eastAsia" w:ascii="黑体" w:hAnsi="黑体" w:eastAsia="黑体"/>
          <w:b/>
          <w:color w:val="auto"/>
          <w:spacing w:val="20"/>
          <w:sz w:val="52"/>
          <w:szCs w:val="52"/>
          <w:highlight w:val="none"/>
          <w:lang w:val="en-US" w:eastAsia="zh-CN"/>
        </w:rPr>
        <w:t>招标</w:t>
      </w:r>
      <w:r>
        <w:rPr>
          <w:rFonts w:hint="eastAsia" w:ascii="黑体" w:hAnsi="黑体" w:eastAsia="黑体"/>
          <w:b/>
          <w:color w:val="auto"/>
          <w:spacing w:val="20"/>
          <w:sz w:val="52"/>
          <w:szCs w:val="52"/>
          <w:highlight w:val="none"/>
        </w:rPr>
        <w:t>文件</w:t>
      </w:r>
    </w:p>
    <w:bookmarkEnd w:id="0"/>
    <w:p w14:paraId="41522902">
      <w:pPr>
        <w:jc w:val="center"/>
        <w:rPr>
          <w:rFonts w:ascii="黑体" w:hAnsi="黑体" w:eastAsia="黑体"/>
          <w:b/>
          <w:color w:val="auto"/>
          <w:sz w:val="32"/>
          <w:szCs w:val="32"/>
          <w:highlight w:val="none"/>
        </w:rPr>
      </w:pPr>
    </w:p>
    <w:p w14:paraId="1B4C9295">
      <w:pPr>
        <w:jc w:val="center"/>
        <w:rPr>
          <w:rFonts w:ascii="黑体" w:hAnsi="黑体" w:eastAsia="黑体"/>
          <w:b/>
          <w:color w:val="auto"/>
          <w:sz w:val="32"/>
          <w:szCs w:val="32"/>
          <w:highlight w:val="none"/>
        </w:rPr>
      </w:pPr>
    </w:p>
    <w:p w14:paraId="72385DE0">
      <w:pPr>
        <w:jc w:val="center"/>
        <w:rPr>
          <w:rFonts w:ascii="黑体" w:hAnsi="黑体" w:eastAsia="黑体"/>
          <w:b/>
          <w:color w:val="auto"/>
          <w:sz w:val="32"/>
          <w:szCs w:val="32"/>
          <w:highlight w:val="none"/>
        </w:rPr>
      </w:pPr>
    </w:p>
    <w:p w14:paraId="7017CBA7">
      <w:pPr>
        <w:jc w:val="center"/>
        <w:rPr>
          <w:rFonts w:ascii="黑体" w:hAnsi="黑体" w:eastAsia="黑体"/>
          <w:b/>
          <w:color w:val="auto"/>
          <w:sz w:val="32"/>
          <w:szCs w:val="32"/>
          <w:highlight w:val="none"/>
        </w:rPr>
      </w:pPr>
    </w:p>
    <w:p w14:paraId="07F02702">
      <w:pPr>
        <w:jc w:val="center"/>
        <w:rPr>
          <w:rFonts w:ascii="黑体" w:hAnsi="黑体" w:eastAsia="黑体"/>
          <w:b/>
          <w:color w:val="auto"/>
          <w:sz w:val="32"/>
          <w:szCs w:val="32"/>
          <w:highlight w:val="none"/>
        </w:rPr>
      </w:pPr>
    </w:p>
    <w:p w14:paraId="1955AE77">
      <w:pPr>
        <w:jc w:val="center"/>
        <w:rPr>
          <w:rFonts w:ascii="黑体" w:hAnsi="黑体" w:eastAsia="黑体"/>
          <w:b/>
          <w:color w:val="auto"/>
          <w:sz w:val="32"/>
          <w:szCs w:val="32"/>
          <w:highlight w:val="none"/>
        </w:rPr>
      </w:pPr>
    </w:p>
    <w:tbl>
      <w:tblPr>
        <w:tblStyle w:val="20"/>
        <w:tblW w:w="85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51"/>
        <w:gridCol w:w="6575"/>
      </w:tblGrid>
      <w:tr w14:paraId="439DA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51" w:type="dxa"/>
            <w:vAlign w:val="top"/>
          </w:tcPr>
          <w:p w14:paraId="1F0DD5BC">
            <w:pPr>
              <w:snapToGrid w:val="0"/>
              <w:spacing w:line="600" w:lineRule="exact"/>
              <w:jc w:val="center"/>
              <w:rPr>
                <w:rFonts w:hAnsi="宋体"/>
                <w:b/>
                <w:color w:val="auto"/>
                <w:sz w:val="30"/>
                <w:szCs w:val="30"/>
                <w:highlight w:val="none"/>
              </w:rPr>
            </w:pPr>
            <w:r>
              <w:rPr>
                <w:rFonts w:hint="eastAsia" w:hAnsi="宋体"/>
                <w:b/>
                <w:color w:val="auto"/>
                <w:sz w:val="30"/>
                <w:szCs w:val="30"/>
                <w:highlight w:val="none"/>
              </w:rPr>
              <w:t>项目编号：</w:t>
            </w:r>
          </w:p>
        </w:tc>
        <w:tc>
          <w:tcPr>
            <w:tcW w:w="6575" w:type="dxa"/>
            <w:vAlign w:val="top"/>
          </w:tcPr>
          <w:p w14:paraId="5A0EF54F">
            <w:pPr>
              <w:snapToGrid w:val="0"/>
              <w:spacing w:line="600" w:lineRule="exact"/>
              <w:jc w:val="center"/>
              <w:rPr>
                <w:rFonts w:hint="eastAsia" w:hAnsi="宋体"/>
                <w:b/>
                <w:color w:val="auto"/>
                <w:sz w:val="30"/>
                <w:szCs w:val="30"/>
                <w:highlight w:val="none"/>
                <w:lang w:eastAsia="zh-CN"/>
              </w:rPr>
            </w:pPr>
            <w:r>
              <w:rPr>
                <w:rFonts w:hint="eastAsia" w:hAnsi="宋体"/>
                <w:b/>
                <w:color w:val="auto"/>
                <w:sz w:val="30"/>
                <w:szCs w:val="30"/>
                <w:highlight w:val="none"/>
                <w:lang w:val="en-US" w:eastAsia="zh-CN"/>
              </w:rPr>
              <w:t>SSLZB</w:t>
            </w:r>
            <w:r>
              <w:rPr>
                <w:rFonts w:hAnsi="宋体"/>
                <w:b/>
                <w:color w:val="auto"/>
                <w:sz w:val="30"/>
                <w:szCs w:val="30"/>
                <w:highlight w:val="none"/>
              </w:rPr>
              <w:t>20</w:t>
            </w:r>
            <w:r>
              <w:rPr>
                <w:rFonts w:hint="eastAsia" w:hAnsi="宋体"/>
                <w:b/>
                <w:color w:val="auto"/>
                <w:sz w:val="30"/>
                <w:szCs w:val="30"/>
                <w:highlight w:val="none"/>
                <w:lang w:val="en-US" w:eastAsia="zh-CN"/>
              </w:rPr>
              <w:t>2601</w:t>
            </w:r>
          </w:p>
        </w:tc>
      </w:tr>
      <w:tr w14:paraId="06509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51" w:type="dxa"/>
            <w:vAlign w:val="top"/>
          </w:tcPr>
          <w:p w14:paraId="6F2B6372">
            <w:pPr>
              <w:snapToGrid w:val="0"/>
              <w:spacing w:line="600" w:lineRule="exact"/>
              <w:jc w:val="center"/>
              <w:rPr>
                <w:rFonts w:hAnsi="宋体"/>
                <w:b/>
                <w:color w:val="auto"/>
                <w:sz w:val="30"/>
                <w:szCs w:val="30"/>
                <w:highlight w:val="none"/>
              </w:rPr>
            </w:pPr>
            <w:r>
              <w:rPr>
                <w:rFonts w:hint="eastAsia" w:hAnsi="宋体"/>
                <w:b/>
                <w:color w:val="auto"/>
                <w:sz w:val="30"/>
                <w:szCs w:val="30"/>
                <w:highlight w:val="none"/>
              </w:rPr>
              <w:t>采购单位：</w:t>
            </w:r>
          </w:p>
        </w:tc>
        <w:tc>
          <w:tcPr>
            <w:tcW w:w="6575" w:type="dxa"/>
            <w:vAlign w:val="top"/>
          </w:tcPr>
          <w:p w14:paraId="2CD4DC9F">
            <w:pPr>
              <w:snapToGrid w:val="0"/>
              <w:spacing w:line="600" w:lineRule="exact"/>
              <w:jc w:val="center"/>
              <w:rPr>
                <w:rFonts w:hAnsi="宋体"/>
                <w:b/>
                <w:color w:val="auto"/>
                <w:sz w:val="30"/>
                <w:szCs w:val="30"/>
                <w:highlight w:val="none"/>
              </w:rPr>
            </w:pPr>
            <w:r>
              <w:rPr>
                <w:rFonts w:hAnsi="宋体"/>
                <w:b/>
                <w:color w:val="auto"/>
                <w:sz w:val="32"/>
                <w:szCs w:val="32"/>
                <w:highlight w:val="none"/>
              </w:rPr>
              <w:t>东莞松山湖高新技术产业开发区管理委员会</w:t>
            </w:r>
          </w:p>
        </w:tc>
      </w:tr>
    </w:tbl>
    <w:p w14:paraId="214C88FD">
      <w:pPr>
        <w:snapToGrid w:val="0"/>
        <w:spacing w:line="600" w:lineRule="exact"/>
        <w:jc w:val="center"/>
        <w:rPr>
          <w:rFonts w:hAnsi="宋体"/>
          <w:b/>
          <w:color w:val="auto"/>
          <w:sz w:val="30"/>
          <w:szCs w:val="30"/>
          <w:highlight w:val="none"/>
        </w:rPr>
      </w:pPr>
    </w:p>
    <w:p w14:paraId="578F0E33">
      <w:pPr>
        <w:snapToGrid w:val="0"/>
        <w:spacing w:line="600" w:lineRule="exact"/>
        <w:jc w:val="center"/>
        <w:rPr>
          <w:rFonts w:hint="eastAsia" w:hAnsi="宋体"/>
          <w:b/>
          <w:color w:val="auto"/>
          <w:sz w:val="30"/>
          <w:szCs w:val="30"/>
          <w:highlight w:val="none"/>
        </w:rPr>
      </w:pPr>
    </w:p>
    <w:p w14:paraId="0EDA9169">
      <w:pPr>
        <w:snapToGrid w:val="0"/>
        <w:spacing w:line="600" w:lineRule="exact"/>
        <w:jc w:val="center"/>
        <w:rPr>
          <w:rFonts w:hint="eastAsia" w:hAnsi="宋体"/>
          <w:b/>
          <w:color w:val="auto"/>
          <w:sz w:val="30"/>
          <w:szCs w:val="30"/>
          <w:highlight w:val="none"/>
        </w:rPr>
      </w:pPr>
    </w:p>
    <w:p w14:paraId="2C20329C">
      <w:pPr>
        <w:pStyle w:val="6"/>
        <w:rPr>
          <w:rFonts w:hint="eastAsia"/>
          <w:color w:val="auto"/>
          <w:highlight w:val="none"/>
        </w:rPr>
      </w:pPr>
    </w:p>
    <w:p w14:paraId="1F59DFA3">
      <w:pPr>
        <w:snapToGrid w:val="0"/>
        <w:spacing w:line="600" w:lineRule="exact"/>
        <w:jc w:val="center"/>
        <w:rPr>
          <w:rFonts w:hint="default" w:hAnsi="宋体"/>
          <w:b/>
          <w:color w:val="auto"/>
          <w:sz w:val="30"/>
          <w:szCs w:val="30"/>
          <w:highlight w:val="none"/>
          <w:lang w:val="en-US" w:eastAsia="zh-CN"/>
        </w:rPr>
      </w:pPr>
      <w:r>
        <w:rPr>
          <w:rFonts w:hAnsi="宋体"/>
          <w:b/>
          <w:color w:val="auto"/>
          <w:sz w:val="30"/>
          <w:szCs w:val="30"/>
          <w:highlight w:val="none"/>
        </w:rPr>
        <w:t>东莞松山湖</w:t>
      </w:r>
      <w:r>
        <w:rPr>
          <w:rFonts w:hint="eastAsia" w:hAnsi="宋体"/>
          <w:b/>
          <w:color w:val="auto"/>
          <w:sz w:val="30"/>
          <w:szCs w:val="30"/>
          <w:highlight w:val="none"/>
          <w:lang w:val="en-US" w:eastAsia="zh-CN"/>
        </w:rPr>
        <w:t>高新技术产业开发区招投标服务所</w:t>
      </w:r>
    </w:p>
    <w:p w14:paraId="7340C7D8">
      <w:pPr>
        <w:snapToGrid w:val="0"/>
        <w:spacing w:line="600" w:lineRule="exact"/>
        <w:jc w:val="center"/>
        <w:rPr>
          <w:rFonts w:ascii="黑体" w:hAnsi="黑体" w:eastAsia="黑体"/>
          <w:b/>
          <w:color w:val="auto"/>
          <w:spacing w:val="60"/>
          <w:sz w:val="30"/>
          <w:szCs w:val="30"/>
          <w:highlight w:val="none"/>
        </w:rPr>
      </w:pPr>
      <w:r>
        <w:rPr>
          <w:rFonts w:hint="eastAsia" w:hAnsi="宋体"/>
          <w:b/>
          <w:color w:val="auto"/>
          <w:sz w:val="30"/>
          <w:szCs w:val="30"/>
          <w:highlight w:val="none"/>
          <w:lang w:val="en-US" w:eastAsia="zh-CN"/>
        </w:rPr>
        <w:t>2026</w:t>
      </w:r>
      <w:r>
        <w:rPr>
          <w:rFonts w:hint="eastAsia" w:hAnsi="宋体"/>
          <w:b/>
          <w:color w:val="auto"/>
          <w:sz w:val="30"/>
          <w:szCs w:val="30"/>
          <w:highlight w:val="none"/>
        </w:rPr>
        <w:t>年</w:t>
      </w:r>
      <w:r>
        <w:rPr>
          <w:rFonts w:hint="eastAsia" w:hAnsi="宋体"/>
          <w:b/>
          <w:color w:val="auto"/>
          <w:sz w:val="30"/>
          <w:szCs w:val="30"/>
          <w:highlight w:val="none"/>
          <w:lang w:val="en-US" w:eastAsia="zh-CN"/>
        </w:rPr>
        <w:t>9</w:t>
      </w:r>
      <w:r>
        <w:rPr>
          <w:rFonts w:hint="eastAsia" w:hAnsi="宋体"/>
          <w:b/>
          <w:color w:val="auto"/>
          <w:sz w:val="30"/>
          <w:szCs w:val="30"/>
          <w:highlight w:val="none"/>
        </w:rPr>
        <w:t>月</w:t>
      </w:r>
    </w:p>
    <w:p w14:paraId="649C538B">
      <w:pPr>
        <w:pStyle w:val="35"/>
        <w:pageBreakBefore/>
        <w:widowControl w:val="0"/>
        <w:spacing w:before="240" w:afterLines="50" w:line="360" w:lineRule="auto"/>
        <w:jc w:val="center"/>
        <w:rPr>
          <w:rFonts w:ascii="黑体" w:hAnsi="黑体" w:eastAsia="黑体"/>
          <w:color w:val="auto"/>
          <w:highlight w:val="none"/>
        </w:rPr>
      </w:pPr>
      <w:bookmarkStart w:id="1" w:name="_Toc405313951"/>
      <w:bookmarkStart w:id="2" w:name="_Toc391367873"/>
      <w:bookmarkStart w:id="3" w:name="_Toc391627747"/>
      <w:r>
        <w:rPr>
          <w:rFonts w:ascii="黑体" w:hAnsi="黑体" w:eastAsia="黑体"/>
          <w:color w:val="auto"/>
          <w:highlight w:val="none"/>
          <w:lang w:val="zh-CN"/>
        </w:rPr>
        <w:t>目</w:t>
      </w:r>
      <w:r>
        <w:rPr>
          <w:rFonts w:hint="eastAsia" w:ascii="黑体" w:hAnsi="黑体" w:eastAsia="黑体"/>
          <w:color w:val="auto"/>
          <w:highlight w:val="none"/>
          <w:lang w:val="zh-CN"/>
        </w:rPr>
        <w:t xml:space="preserve">  </w:t>
      </w:r>
      <w:r>
        <w:rPr>
          <w:rFonts w:ascii="黑体" w:hAnsi="黑体" w:eastAsia="黑体"/>
          <w:color w:val="auto"/>
          <w:highlight w:val="none"/>
          <w:lang w:val="zh-CN"/>
        </w:rPr>
        <w:t>录</w:t>
      </w:r>
    </w:p>
    <w:p w14:paraId="0DE4BCF7">
      <w:pPr>
        <w:pStyle w:val="15"/>
        <w:rPr>
          <w:rFonts w:eastAsia="宋体"/>
          <w:color w:val="auto"/>
          <w:kern w:val="2"/>
          <w:sz w:val="21"/>
          <w:highlight w:val="none"/>
        </w:rPr>
      </w:pPr>
      <w:r>
        <w:rPr>
          <w:rFonts w:ascii="黑体" w:hAnsi="黑体"/>
          <w:color w:val="auto"/>
          <w:highlight w:val="none"/>
        </w:rPr>
        <w:fldChar w:fldCharType="begin"/>
      </w:r>
      <w:r>
        <w:rPr>
          <w:rFonts w:ascii="黑体" w:hAnsi="黑体"/>
          <w:color w:val="auto"/>
          <w:highlight w:val="none"/>
        </w:rPr>
        <w:instrText xml:space="preserve"> TOC \o "1-3" \h \z \u </w:instrText>
      </w:r>
      <w:r>
        <w:rPr>
          <w:rFonts w:ascii="黑体" w:hAnsi="黑体"/>
          <w:color w:val="auto"/>
          <w:highlight w:val="none"/>
        </w:rPr>
        <w:fldChar w:fldCharType="separate"/>
      </w:r>
      <w:r>
        <w:rPr>
          <w:color w:val="auto"/>
          <w:highlight w:val="none"/>
        </w:rPr>
        <w:fldChar w:fldCharType="begin"/>
      </w:r>
      <w:r>
        <w:rPr>
          <w:color w:val="auto"/>
          <w:highlight w:val="none"/>
        </w:rPr>
        <w:instrText xml:space="preserve"> HYPERLINK \l "_Toc23715265" </w:instrText>
      </w:r>
      <w:r>
        <w:rPr>
          <w:color w:val="auto"/>
          <w:highlight w:val="none"/>
        </w:rPr>
        <w:fldChar w:fldCharType="separate"/>
      </w:r>
      <w:r>
        <w:rPr>
          <w:rStyle w:val="25"/>
          <w:rFonts w:hint="eastAsia" w:ascii="黑体" w:hAnsi="黑体"/>
          <w:color w:val="auto"/>
          <w:spacing w:val="20"/>
          <w:highlight w:val="none"/>
        </w:rPr>
        <w:t>第一部分</w:t>
      </w:r>
      <w:r>
        <w:rPr>
          <w:rStyle w:val="25"/>
          <w:rFonts w:ascii="黑体" w:hAnsi="黑体"/>
          <w:color w:val="auto"/>
          <w:spacing w:val="20"/>
          <w:highlight w:val="none"/>
        </w:rPr>
        <w:t xml:space="preserve"> </w:t>
      </w:r>
      <w:r>
        <w:rPr>
          <w:rStyle w:val="25"/>
          <w:rFonts w:hint="eastAsia" w:ascii="黑体" w:hAnsi="黑体"/>
          <w:color w:val="auto"/>
          <w:spacing w:val="20"/>
          <w:highlight w:val="none"/>
        </w:rPr>
        <w:t>投标邀请函</w:t>
      </w:r>
      <w:r>
        <w:rPr>
          <w:color w:val="auto"/>
          <w:highlight w:val="none"/>
        </w:rPr>
        <w:tab/>
      </w:r>
      <w:r>
        <w:rPr>
          <w:color w:val="auto"/>
          <w:highlight w:val="none"/>
        </w:rPr>
        <w:fldChar w:fldCharType="begin"/>
      </w:r>
      <w:r>
        <w:rPr>
          <w:color w:val="auto"/>
          <w:highlight w:val="none"/>
        </w:rPr>
        <w:instrText xml:space="preserve"> PAGEREF _Toc23715265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B897F30">
      <w:pPr>
        <w:pStyle w:val="15"/>
        <w:rPr>
          <w:rFonts w:eastAsia="宋体"/>
          <w:color w:val="auto"/>
          <w:kern w:val="2"/>
          <w:sz w:val="21"/>
          <w:highlight w:val="none"/>
        </w:rPr>
      </w:pPr>
      <w:r>
        <w:rPr>
          <w:color w:val="auto"/>
          <w:highlight w:val="none"/>
        </w:rPr>
        <w:fldChar w:fldCharType="begin"/>
      </w:r>
      <w:r>
        <w:rPr>
          <w:color w:val="auto"/>
          <w:highlight w:val="none"/>
        </w:rPr>
        <w:instrText xml:space="preserve"> HYPERLINK \l "_Toc23715266" </w:instrText>
      </w:r>
      <w:r>
        <w:rPr>
          <w:color w:val="auto"/>
          <w:highlight w:val="none"/>
        </w:rPr>
        <w:fldChar w:fldCharType="separate"/>
      </w:r>
      <w:r>
        <w:rPr>
          <w:rStyle w:val="25"/>
          <w:rFonts w:hint="eastAsia" w:ascii="黑体" w:hAnsi="黑体"/>
          <w:color w:val="auto"/>
          <w:spacing w:val="20"/>
          <w:highlight w:val="none"/>
        </w:rPr>
        <w:t>第二部分</w:t>
      </w:r>
      <w:r>
        <w:rPr>
          <w:rStyle w:val="25"/>
          <w:rFonts w:ascii="黑体" w:hAnsi="黑体"/>
          <w:color w:val="auto"/>
          <w:spacing w:val="20"/>
          <w:highlight w:val="none"/>
        </w:rPr>
        <w:t xml:space="preserve"> </w:t>
      </w:r>
      <w:r>
        <w:rPr>
          <w:rStyle w:val="25"/>
          <w:rFonts w:hint="eastAsia" w:ascii="黑体" w:hAnsi="黑体"/>
          <w:color w:val="auto"/>
          <w:spacing w:val="20"/>
          <w:highlight w:val="none"/>
        </w:rPr>
        <w:t>用户需求书</w:t>
      </w:r>
      <w:r>
        <w:rPr>
          <w:color w:val="auto"/>
          <w:highlight w:val="none"/>
        </w:rPr>
        <w:tab/>
      </w:r>
      <w:r>
        <w:rPr>
          <w:color w:val="auto"/>
          <w:highlight w:val="none"/>
        </w:rPr>
        <w:fldChar w:fldCharType="begin"/>
      </w:r>
      <w:r>
        <w:rPr>
          <w:color w:val="auto"/>
          <w:highlight w:val="none"/>
        </w:rPr>
        <w:instrText xml:space="preserve"> PAGEREF _Toc23715266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8087682">
      <w:pPr>
        <w:pStyle w:val="15"/>
        <w:rPr>
          <w:rFonts w:eastAsia="宋体"/>
          <w:color w:val="auto"/>
          <w:kern w:val="2"/>
          <w:sz w:val="21"/>
          <w:highlight w:val="none"/>
        </w:rPr>
      </w:pPr>
      <w:r>
        <w:rPr>
          <w:color w:val="auto"/>
          <w:highlight w:val="none"/>
        </w:rPr>
        <w:fldChar w:fldCharType="begin"/>
      </w:r>
      <w:r>
        <w:rPr>
          <w:color w:val="auto"/>
          <w:highlight w:val="none"/>
        </w:rPr>
        <w:instrText xml:space="preserve"> HYPERLINK \l "_Toc23715267" </w:instrText>
      </w:r>
      <w:r>
        <w:rPr>
          <w:color w:val="auto"/>
          <w:highlight w:val="none"/>
        </w:rPr>
        <w:fldChar w:fldCharType="separate"/>
      </w:r>
      <w:r>
        <w:rPr>
          <w:rStyle w:val="25"/>
          <w:rFonts w:hint="eastAsia" w:ascii="黑体" w:hAnsi="黑体"/>
          <w:color w:val="auto"/>
          <w:spacing w:val="20"/>
          <w:highlight w:val="none"/>
        </w:rPr>
        <w:t>第三部分</w:t>
      </w:r>
      <w:r>
        <w:rPr>
          <w:rStyle w:val="25"/>
          <w:rFonts w:ascii="黑体" w:hAnsi="黑体"/>
          <w:color w:val="auto"/>
          <w:spacing w:val="20"/>
          <w:highlight w:val="none"/>
        </w:rPr>
        <w:t xml:space="preserve"> </w:t>
      </w:r>
      <w:r>
        <w:rPr>
          <w:rStyle w:val="25"/>
          <w:rFonts w:hint="eastAsia" w:ascii="黑体" w:hAnsi="黑体"/>
          <w:color w:val="auto"/>
          <w:spacing w:val="20"/>
          <w:highlight w:val="none"/>
        </w:rPr>
        <w:t>投标须知前附表</w:t>
      </w:r>
      <w:r>
        <w:rPr>
          <w:color w:val="auto"/>
          <w:highlight w:val="none"/>
        </w:rPr>
        <w:tab/>
      </w:r>
      <w:r>
        <w:rPr>
          <w:color w:val="auto"/>
          <w:highlight w:val="none"/>
        </w:rPr>
        <w:fldChar w:fldCharType="begin"/>
      </w:r>
      <w:r>
        <w:rPr>
          <w:color w:val="auto"/>
          <w:highlight w:val="none"/>
        </w:rPr>
        <w:instrText xml:space="preserve"> PAGEREF _Toc23715267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550BDE34">
      <w:pPr>
        <w:pStyle w:val="15"/>
        <w:rPr>
          <w:rFonts w:eastAsia="宋体"/>
          <w:color w:val="auto"/>
          <w:kern w:val="2"/>
          <w:sz w:val="21"/>
          <w:highlight w:val="none"/>
        </w:rPr>
      </w:pPr>
      <w:r>
        <w:rPr>
          <w:color w:val="auto"/>
          <w:highlight w:val="none"/>
        </w:rPr>
        <w:fldChar w:fldCharType="begin"/>
      </w:r>
      <w:r>
        <w:rPr>
          <w:color w:val="auto"/>
          <w:highlight w:val="none"/>
        </w:rPr>
        <w:instrText xml:space="preserve"> HYPERLINK \l "_Toc23715268" </w:instrText>
      </w:r>
      <w:r>
        <w:rPr>
          <w:color w:val="auto"/>
          <w:highlight w:val="none"/>
        </w:rPr>
        <w:fldChar w:fldCharType="separate"/>
      </w:r>
      <w:r>
        <w:rPr>
          <w:rStyle w:val="25"/>
          <w:rFonts w:hint="eastAsia" w:ascii="黑体" w:hAnsi="黑体"/>
          <w:color w:val="auto"/>
          <w:spacing w:val="20"/>
          <w:highlight w:val="none"/>
        </w:rPr>
        <w:t>第四部分</w:t>
      </w:r>
      <w:r>
        <w:rPr>
          <w:rStyle w:val="25"/>
          <w:rFonts w:ascii="黑体" w:hAnsi="黑体"/>
          <w:color w:val="auto"/>
          <w:spacing w:val="20"/>
          <w:highlight w:val="none"/>
        </w:rPr>
        <w:t xml:space="preserve"> </w:t>
      </w:r>
      <w:r>
        <w:rPr>
          <w:rStyle w:val="25"/>
          <w:rFonts w:hint="eastAsia" w:ascii="黑体" w:hAnsi="黑体"/>
          <w:color w:val="auto"/>
          <w:spacing w:val="20"/>
          <w:highlight w:val="none"/>
        </w:rPr>
        <w:t>投标须知</w:t>
      </w:r>
      <w:r>
        <w:rPr>
          <w:color w:val="auto"/>
          <w:highlight w:val="none"/>
        </w:rPr>
        <w:tab/>
      </w:r>
      <w:r>
        <w:rPr>
          <w:color w:val="auto"/>
          <w:highlight w:val="none"/>
        </w:rPr>
        <w:fldChar w:fldCharType="begin"/>
      </w:r>
      <w:r>
        <w:rPr>
          <w:color w:val="auto"/>
          <w:highlight w:val="none"/>
        </w:rPr>
        <w:instrText xml:space="preserve"> PAGEREF _Toc23715268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7F46D9F9">
      <w:pPr>
        <w:pStyle w:val="15"/>
        <w:rPr>
          <w:rFonts w:eastAsia="宋体"/>
          <w:color w:val="auto"/>
          <w:kern w:val="2"/>
          <w:sz w:val="21"/>
          <w:highlight w:val="none"/>
        </w:rPr>
      </w:pPr>
      <w:r>
        <w:rPr>
          <w:color w:val="auto"/>
          <w:highlight w:val="none"/>
        </w:rPr>
        <w:fldChar w:fldCharType="begin"/>
      </w:r>
      <w:r>
        <w:rPr>
          <w:color w:val="auto"/>
          <w:highlight w:val="none"/>
        </w:rPr>
        <w:instrText xml:space="preserve"> HYPERLINK \l "_Toc23715269" </w:instrText>
      </w:r>
      <w:r>
        <w:rPr>
          <w:color w:val="auto"/>
          <w:highlight w:val="none"/>
        </w:rPr>
        <w:fldChar w:fldCharType="separate"/>
      </w:r>
      <w:r>
        <w:rPr>
          <w:rStyle w:val="25"/>
          <w:rFonts w:hint="eastAsia" w:ascii="黑体" w:hAnsi="黑体"/>
          <w:color w:val="auto"/>
          <w:spacing w:val="20"/>
          <w:highlight w:val="none"/>
        </w:rPr>
        <w:t>第五部分</w:t>
      </w:r>
      <w:r>
        <w:rPr>
          <w:rStyle w:val="25"/>
          <w:rFonts w:ascii="黑体" w:hAnsi="黑体"/>
          <w:color w:val="auto"/>
          <w:spacing w:val="20"/>
          <w:highlight w:val="none"/>
        </w:rPr>
        <w:t xml:space="preserve"> </w:t>
      </w:r>
      <w:r>
        <w:rPr>
          <w:rStyle w:val="25"/>
          <w:rFonts w:hint="eastAsia" w:ascii="黑体" w:hAnsi="黑体"/>
          <w:color w:val="auto"/>
          <w:spacing w:val="20"/>
          <w:highlight w:val="none"/>
        </w:rPr>
        <w:t>评标方法、步骤、标准</w:t>
      </w:r>
      <w:r>
        <w:rPr>
          <w:color w:val="auto"/>
          <w:highlight w:val="none"/>
        </w:rPr>
        <w:tab/>
      </w:r>
      <w:r>
        <w:rPr>
          <w:color w:val="auto"/>
          <w:highlight w:val="none"/>
        </w:rPr>
        <w:fldChar w:fldCharType="begin"/>
      </w:r>
      <w:r>
        <w:rPr>
          <w:color w:val="auto"/>
          <w:highlight w:val="none"/>
        </w:rPr>
        <w:instrText xml:space="preserve"> PAGEREF _Toc23715269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6F9E61B">
      <w:pPr>
        <w:pStyle w:val="15"/>
        <w:rPr>
          <w:rFonts w:eastAsia="宋体"/>
          <w:color w:val="auto"/>
          <w:kern w:val="2"/>
          <w:sz w:val="21"/>
          <w:highlight w:val="none"/>
        </w:rPr>
      </w:pPr>
      <w:r>
        <w:rPr>
          <w:color w:val="auto"/>
          <w:highlight w:val="none"/>
        </w:rPr>
        <w:fldChar w:fldCharType="begin"/>
      </w:r>
      <w:r>
        <w:rPr>
          <w:color w:val="auto"/>
          <w:highlight w:val="none"/>
        </w:rPr>
        <w:instrText xml:space="preserve"> HYPERLINK \l "_Toc23715270" </w:instrText>
      </w:r>
      <w:r>
        <w:rPr>
          <w:color w:val="auto"/>
          <w:highlight w:val="none"/>
        </w:rPr>
        <w:fldChar w:fldCharType="separate"/>
      </w:r>
      <w:r>
        <w:rPr>
          <w:rStyle w:val="25"/>
          <w:rFonts w:hint="eastAsia" w:ascii="黑体" w:hAnsi="黑体"/>
          <w:color w:val="auto"/>
          <w:spacing w:val="20"/>
          <w:highlight w:val="none"/>
        </w:rPr>
        <w:t>第六部分</w:t>
      </w:r>
      <w:r>
        <w:rPr>
          <w:rStyle w:val="25"/>
          <w:rFonts w:ascii="黑体" w:hAnsi="黑体"/>
          <w:color w:val="auto"/>
          <w:spacing w:val="20"/>
          <w:highlight w:val="none"/>
        </w:rPr>
        <w:t xml:space="preserve"> </w:t>
      </w:r>
      <w:r>
        <w:rPr>
          <w:rStyle w:val="25"/>
          <w:rFonts w:hint="eastAsia" w:ascii="黑体" w:hAnsi="黑体"/>
          <w:color w:val="auto"/>
          <w:spacing w:val="20"/>
          <w:highlight w:val="none"/>
        </w:rPr>
        <w:t>合同书格式</w:t>
      </w:r>
      <w:r>
        <w:rPr>
          <w:color w:val="auto"/>
          <w:highlight w:val="none"/>
        </w:rPr>
        <w:tab/>
      </w:r>
      <w:r>
        <w:rPr>
          <w:color w:val="auto"/>
          <w:highlight w:val="none"/>
        </w:rPr>
        <w:fldChar w:fldCharType="begin"/>
      </w:r>
      <w:r>
        <w:rPr>
          <w:color w:val="auto"/>
          <w:highlight w:val="none"/>
        </w:rPr>
        <w:instrText xml:space="preserve"> PAGEREF _Toc23715270 \h </w:instrText>
      </w:r>
      <w:r>
        <w:rPr>
          <w:color w:val="auto"/>
          <w:highlight w:val="none"/>
        </w:rPr>
        <w:fldChar w:fldCharType="separate"/>
      </w:r>
      <w:r>
        <w:rPr>
          <w:color w:val="auto"/>
          <w:highlight w:val="none"/>
        </w:rPr>
        <w:t>2</w:t>
      </w:r>
      <w:r>
        <w:rPr>
          <w:rFonts w:hint="eastAsia"/>
          <w:color w:val="auto"/>
          <w:highlight w:val="none"/>
          <w:lang w:val="en-US" w:eastAsia="zh-CN"/>
        </w:rPr>
        <w:t>8</w:t>
      </w:r>
      <w:r>
        <w:rPr>
          <w:color w:val="auto"/>
          <w:highlight w:val="none"/>
        </w:rPr>
        <w:fldChar w:fldCharType="end"/>
      </w:r>
      <w:r>
        <w:rPr>
          <w:color w:val="auto"/>
          <w:highlight w:val="none"/>
        </w:rPr>
        <w:fldChar w:fldCharType="end"/>
      </w:r>
    </w:p>
    <w:p w14:paraId="332A5AEE">
      <w:pPr>
        <w:pStyle w:val="15"/>
        <w:rPr>
          <w:rFonts w:eastAsia="宋体"/>
          <w:color w:val="auto"/>
          <w:kern w:val="2"/>
          <w:sz w:val="21"/>
          <w:highlight w:val="none"/>
        </w:rPr>
      </w:pPr>
      <w:r>
        <w:rPr>
          <w:color w:val="auto"/>
          <w:highlight w:val="none"/>
        </w:rPr>
        <w:fldChar w:fldCharType="begin"/>
      </w:r>
      <w:r>
        <w:rPr>
          <w:color w:val="auto"/>
          <w:highlight w:val="none"/>
        </w:rPr>
        <w:instrText xml:space="preserve"> HYPERLINK \l "_Toc23715271" </w:instrText>
      </w:r>
      <w:r>
        <w:rPr>
          <w:color w:val="auto"/>
          <w:highlight w:val="none"/>
        </w:rPr>
        <w:fldChar w:fldCharType="separate"/>
      </w:r>
      <w:r>
        <w:rPr>
          <w:rStyle w:val="25"/>
          <w:rFonts w:hint="eastAsia" w:ascii="黑体" w:hAnsi="黑体"/>
          <w:color w:val="auto"/>
          <w:spacing w:val="20"/>
          <w:highlight w:val="none"/>
        </w:rPr>
        <w:t>第七部分</w:t>
      </w:r>
      <w:r>
        <w:rPr>
          <w:rStyle w:val="25"/>
          <w:rFonts w:ascii="黑体" w:hAnsi="黑体"/>
          <w:color w:val="auto"/>
          <w:spacing w:val="20"/>
          <w:highlight w:val="none"/>
        </w:rPr>
        <w:t xml:space="preserve"> </w:t>
      </w:r>
      <w:r>
        <w:rPr>
          <w:rStyle w:val="25"/>
          <w:rFonts w:hint="eastAsia" w:ascii="黑体" w:hAnsi="黑体"/>
          <w:color w:val="auto"/>
          <w:spacing w:val="20"/>
          <w:highlight w:val="none"/>
        </w:rPr>
        <w:t>投标文件格式</w:t>
      </w:r>
      <w:r>
        <w:rPr>
          <w:color w:val="auto"/>
          <w:highlight w:val="none"/>
        </w:rPr>
        <w:tab/>
      </w:r>
      <w:r>
        <w:rPr>
          <w:color w:val="auto"/>
          <w:highlight w:val="none"/>
        </w:rPr>
        <w:fldChar w:fldCharType="begin"/>
      </w:r>
      <w:r>
        <w:rPr>
          <w:color w:val="auto"/>
          <w:highlight w:val="none"/>
        </w:rPr>
        <w:instrText xml:space="preserve"> PAGEREF _Toc23715271 \h </w:instrText>
      </w:r>
      <w:r>
        <w:rPr>
          <w:color w:val="auto"/>
          <w:highlight w:val="none"/>
        </w:rPr>
        <w:fldChar w:fldCharType="separate"/>
      </w:r>
      <w:r>
        <w:rPr>
          <w:color w:val="auto"/>
          <w:highlight w:val="none"/>
        </w:rPr>
        <w:t>3</w:t>
      </w:r>
      <w:r>
        <w:rPr>
          <w:rFonts w:hint="eastAsia"/>
          <w:color w:val="auto"/>
          <w:highlight w:val="none"/>
          <w:lang w:val="en-US" w:eastAsia="zh-CN"/>
        </w:rPr>
        <w:t>4</w:t>
      </w:r>
      <w:r>
        <w:rPr>
          <w:color w:val="auto"/>
          <w:highlight w:val="none"/>
        </w:rPr>
        <w:fldChar w:fldCharType="end"/>
      </w:r>
      <w:r>
        <w:rPr>
          <w:color w:val="auto"/>
          <w:highlight w:val="none"/>
        </w:rPr>
        <w:fldChar w:fldCharType="end"/>
      </w:r>
    </w:p>
    <w:p w14:paraId="597CD1C7">
      <w:pPr>
        <w:pStyle w:val="16"/>
        <w:rPr>
          <w:color w:val="auto"/>
          <w:kern w:val="2"/>
          <w:sz w:val="21"/>
          <w:highlight w:val="none"/>
        </w:rPr>
      </w:pPr>
      <w:r>
        <w:rPr>
          <w:color w:val="auto"/>
          <w:highlight w:val="none"/>
        </w:rPr>
        <w:fldChar w:fldCharType="begin"/>
      </w:r>
      <w:r>
        <w:rPr>
          <w:color w:val="auto"/>
          <w:highlight w:val="none"/>
        </w:rPr>
        <w:instrText xml:space="preserve"> HYPERLINK \l "_Toc23715272" </w:instrText>
      </w:r>
      <w:r>
        <w:rPr>
          <w:color w:val="auto"/>
          <w:highlight w:val="none"/>
        </w:rPr>
        <w:fldChar w:fldCharType="separate"/>
      </w:r>
      <w:r>
        <w:rPr>
          <w:rStyle w:val="25"/>
          <w:rFonts w:hint="eastAsia" w:ascii="黑体" w:hAnsi="黑体" w:eastAsia="黑体"/>
          <w:color w:val="auto"/>
          <w:spacing w:val="12"/>
          <w:highlight w:val="none"/>
        </w:rPr>
        <w:t>附件</w:t>
      </w:r>
      <w:r>
        <w:rPr>
          <w:rStyle w:val="25"/>
          <w:rFonts w:ascii="黑体" w:hAnsi="黑体" w:eastAsia="黑体"/>
          <w:color w:val="auto"/>
          <w:spacing w:val="12"/>
          <w:highlight w:val="none"/>
        </w:rPr>
        <w:t xml:space="preserve">1  </w:t>
      </w:r>
      <w:r>
        <w:rPr>
          <w:rStyle w:val="25"/>
          <w:rFonts w:hint="eastAsia" w:ascii="黑体" w:hAnsi="黑体" w:eastAsia="黑体"/>
          <w:color w:val="auto"/>
          <w:spacing w:val="12"/>
          <w:highlight w:val="none"/>
        </w:rPr>
        <w:t>投标函</w:t>
      </w:r>
      <w:r>
        <w:rPr>
          <w:color w:val="auto"/>
          <w:highlight w:val="none"/>
        </w:rPr>
        <w:tab/>
      </w:r>
      <w:r>
        <w:rPr>
          <w:color w:val="auto"/>
          <w:highlight w:val="none"/>
        </w:rPr>
        <w:fldChar w:fldCharType="begin"/>
      </w:r>
      <w:r>
        <w:rPr>
          <w:color w:val="auto"/>
          <w:highlight w:val="none"/>
        </w:rPr>
        <w:instrText xml:space="preserve"> PAGEREF _Toc23715272 \h </w:instrText>
      </w:r>
      <w:r>
        <w:rPr>
          <w:color w:val="auto"/>
          <w:highlight w:val="none"/>
        </w:rPr>
        <w:fldChar w:fldCharType="separate"/>
      </w:r>
      <w:r>
        <w:rPr>
          <w:color w:val="auto"/>
          <w:highlight w:val="none"/>
        </w:rPr>
        <w:t>3</w:t>
      </w:r>
      <w:r>
        <w:rPr>
          <w:rFonts w:hint="eastAsia"/>
          <w:color w:val="auto"/>
          <w:highlight w:val="none"/>
          <w:lang w:val="en-US" w:eastAsia="zh-CN"/>
        </w:rPr>
        <w:t>6</w:t>
      </w:r>
      <w:r>
        <w:rPr>
          <w:color w:val="auto"/>
          <w:highlight w:val="none"/>
        </w:rPr>
        <w:fldChar w:fldCharType="end"/>
      </w:r>
      <w:r>
        <w:rPr>
          <w:color w:val="auto"/>
          <w:highlight w:val="none"/>
        </w:rPr>
        <w:fldChar w:fldCharType="end"/>
      </w:r>
    </w:p>
    <w:p w14:paraId="7CB58486">
      <w:pPr>
        <w:pStyle w:val="16"/>
        <w:rPr>
          <w:color w:val="auto"/>
          <w:kern w:val="2"/>
          <w:sz w:val="21"/>
          <w:highlight w:val="none"/>
        </w:rPr>
      </w:pPr>
      <w:r>
        <w:rPr>
          <w:color w:val="auto"/>
          <w:highlight w:val="none"/>
        </w:rPr>
        <w:fldChar w:fldCharType="begin"/>
      </w:r>
      <w:r>
        <w:rPr>
          <w:color w:val="auto"/>
          <w:highlight w:val="none"/>
        </w:rPr>
        <w:instrText xml:space="preserve"> HYPERLINK \l "_Toc23715273" </w:instrText>
      </w:r>
      <w:r>
        <w:rPr>
          <w:color w:val="auto"/>
          <w:highlight w:val="none"/>
        </w:rPr>
        <w:fldChar w:fldCharType="separate"/>
      </w:r>
      <w:r>
        <w:rPr>
          <w:rStyle w:val="25"/>
          <w:rFonts w:hint="eastAsia" w:ascii="黑体" w:hAnsi="黑体" w:eastAsia="黑体"/>
          <w:color w:val="auto"/>
          <w:spacing w:val="12"/>
          <w:highlight w:val="none"/>
        </w:rPr>
        <w:t>附件</w:t>
      </w:r>
      <w:r>
        <w:rPr>
          <w:rStyle w:val="25"/>
          <w:rFonts w:ascii="黑体" w:hAnsi="黑体" w:eastAsia="黑体"/>
          <w:color w:val="auto"/>
          <w:spacing w:val="12"/>
          <w:highlight w:val="none"/>
        </w:rPr>
        <w:t xml:space="preserve">2  </w:t>
      </w:r>
      <w:r>
        <w:rPr>
          <w:rStyle w:val="25"/>
          <w:rFonts w:hint="eastAsia" w:ascii="黑体" w:hAnsi="黑体" w:eastAsia="黑体"/>
          <w:color w:val="auto"/>
          <w:spacing w:val="12"/>
          <w:highlight w:val="none"/>
        </w:rPr>
        <w:t>法定</w:t>
      </w:r>
      <w:r>
        <w:rPr>
          <w:rStyle w:val="25"/>
          <w:rFonts w:ascii="黑体" w:hAnsi="黑体" w:eastAsia="黑体"/>
          <w:color w:val="auto"/>
          <w:spacing w:val="12"/>
          <w:highlight w:val="none"/>
        </w:rPr>
        <w:t>(</w:t>
      </w:r>
      <w:r>
        <w:rPr>
          <w:rStyle w:val="25"/>
          <w:rFonts w:hint="eastAsia" w:ascii="黑体" w:hAnsi="黑体" w:eastAsia="黑体"/>
          <w:color w:val="auto"/>
          <w:spacing w:val="12"/>
          <w:highlight w:val="none"/>
        </w:rPr>
        <w:t>负责人</w:t>
      </w:r>
      <w:r>
        <w:rPr>
          <w:rStyle w:val="25"/>
          <w:rFonts w:ascii="黑体" w:hAnsi="黑体" w:eastAsia="黑体"/>
          <w:color w:val="auto"/>
          <w:spacing w:val="12"/>
          <w:highlight w:val="none"/>
        </w:rPr>
        <w:t>)</w:t>
      </w:r>
      <w:r>
        <w:rPr>
          <w:rStyle w:val="25"/>
          <w:rFonts w:hint="eastAsia" w:ascii="黑体" w:hAnsi="黑体" w:eastAsia="黑体"/>
          <w:color w:val="auto"/>
          <w:spacing w:val="12"/>
          <w:highlight w:val="none"/>
        </w:rPr>
        <w:t>代表人身份证明书</w:t>
      </w:r>
      <w:r>
        <w:rPr>
          <w:color w:val="auto"/>
          <w:highlight w:val="none"/>
        </w:rPr>
        <w:tab/>
      </w:r>
      <w:r>
        <w:rPr>
          <w:color w:val="auto"/>
          <w:highlight w:val="none"/>
        </w:rPr>
        <w:fldChar w:fldCharType="begin"/>
      </w:r>
      <w:r>
        <w:rPr>
          <w:color w:val="auto"/>
          <w:highlight w:val="none"/>
        </w:rPr>
        <w:instrText xml:space="preserve"> PAGEREF _Toc23715273 \h </w:instrText>
      </w:r>
      <w:r>
        <w:rPr>
          <w:color w:val="auto"/>
          <w:highlight w:val="none"/>
        </w:rPr>
        <w:fldChar w:fldCharType="separate"/>
      </w:r>
      <w:r>
        <w:rPr>
          <w:color w:val="auto"/>
          <w:highlight w:val="none"/>
        </w:rPr>
        <w:t>3</w:t>
      </w:r>
      <w:r>
        <w:rPr>
          <w:rFonts w:hint="eastAsia"/>
          <w:color w:val="auto"/>
          <w:highlight w:val="none"/>
          <w:lang w:val="en-US" w:eastAsia="zh-CN"/>
        </w:rPr>
        <w:t>7</w:t>
      </w:r>
      <w:r>
        <w:rPr>
          <w:color w:val="auto"/>
          <w:highlight w:val="none"/>
        </w:rPr>
        <w:fldChar w:fldCharType="end"/>
      </w:r>
      <w:r>
        <w:rPr>
          <w:color w:val="auto"/>
          <w:highlight w:val="none"/>
        </w:rPr>
        <w:fldChar w:fldCharType="end"/>
      </w:r>
    </w:p>
    <w:p w14:paraId="27E51250">
      <w:pPr>
        <w:pStyle w:val="16"/>
        <w:rPr>
          <w:color w:val="auto"/>
          <w:kern w:val="2"/>
          <w:sz w:val="21"/>
          <w:highlight w:val="none"/>
        </w:rPr>
      </w:pPr>
      <w:r>
        <w:rPr>
          <w:color w:val="auto"/>
          <w:highlight w:val="none"/>
        </w:rPr>
        <w:fldChar w:fldCharType="begin"/>
      </w:r>
      <w:r>
        <w:rPr>
          <w:color w:val="auto"/>
          <w:highlight w:val="none"/>
        </w:rPr>
        <w:instrText xml:space="preserve"> HYPERLINK \l "_Toc23715274" </w:instrText>
      </w:r>
      <w:r>
        <w:rPr>
          <w:color w:val="auto"/>
          <w:highlight w:val="none"/>
        </w:rPr>
        <w:fldChar w:fldCharType="separate"/>
      </w:r>
      <w:r>
        <w:rPr>
          <w:rStyle w:val="25"/>
          <w:rFonts w:hint="eastAsia" w:ascii="黑体" w:hAnsi="黑体" w:eastAsia="黑体"/>
          <w:color w:val="auto"/>
          <w:spacing w:val="12"/>
          <w:highlight w:val="none"/>
        </w:rPr>
        <w:t>附件</w:t>
      </w:r>
      <w:r>
        <w:rPr>
          <w:rStyle w:val="25"/>
          <w:rFonts w:ascii="黑体" w:hAnsi="黑体" w:eastAsia="黑体"/>
          <w:color w:val="auto"/>
          <w:spacing w:val="12"/>
          <w:highlight w:val="none"/>
        </w:rPr>
        <w:t xml:space="preserve">3  </w:t>
      </w:r>
      <w:r>
        <w:rPr>
          <w:rStyle w:val="25"/>
          <w:rFonts w:hint="eastAsia" w:ascii="黑体" w:hAnsi="黑体" w:eastAsia="黑体"/>
          <w:color w:val="auto"/>
          <w:spacing w:val="12"/>
          <w:highlight w:val="none"/>
        </w:rPr>
        <w:t>法定</w:t>
      </w:r>
      <w:r>
        <w:rPr>
          <w:rStyle w:val="25"/>
          <w:rFonts w:ascii="黑体" w:hAnsi="黑体" w:eastAsia="黑体"/>
          <w:color w:val="auto"/>
          <w:spacing w:val="12"/>
          <w:highlight w:val="none"/>
        </w:rPr>
        <w:t>(</w:t>
      </w:r>
      <w:r>
        <w:rPr>
          <w:rStyle w:val="25"/>
          <w:rFonts w:hint="eastAsia" w:ascii="黑体" w:hAnsi="黑体" w:eastAsia="黑体"/>
          <w:color w:val="auto"/>
          <w:spacing w:val="12"/>
          <w:highlight w:val="none"/>
        </w:rPr>
        <w:t>负责人</w:t>
      </w:r>
      <w:r>
        <w:rPr>
          <w:rStyle w:val="25"/>
          <w:rFonts w:ascii="黑体" w:hAnsi="黑体" w:eastAsia="黑体"/>
          <w:color w:val="auto"/>
          <w:spacing w:val="12"/>
          <w:highlight w:val="none"/>
        </w:rPr>
        <w:t>)</w:t>
      </w:r>
      <w:r>
        <w:rPr>
          <w:rStyle w:val="25"/>
          <w:rFonts w:hint="eastAsia" w:ascii="黑体" w:hAnsi="黑体" w:eastAsia="黑体"/>
          <w:color w:val="auto"/>
          <w:spacing w:val="12"/>
          <w:highlight w:val="none"/>
        </w:rPr>
        <w:t>代表人授权委托书</w:t>
      </w:r>
      <w:r>
        <w:rPr>
          <w:color w:val="auto"/>
          <w:highlight w:val="none"/>
        </w:rPr>
        <w:tab/>
      </w:r>
      <w:r>
        <w:rPr>
          <w:color w:val="auto"/>
          <w:highlight w:val="none"/>
        </w:rPr>
        <w:fldChar w:fldCharType="begin"/>
      </w:r>
      <w:r>
        <w:rPr>
          <w:color w:val="auto"/>
          <w:highlight w:val="none"/>
        </w:rPr>
        <w:instrText xml:space="preserve"> PAGEREF _Toc23715274 \h </w:instrText>
      </w:r>
      <w:r>
        <w:rPr>
          <w:color w:val="auto"/>
          <w:highlight w:val="none"/>
        </w:rPr>
        <w:fldChar w:fldCharType="separate"/>
      </w:r>
      <w:r>
        <w:rPr>
          <w:color w:val="auto"/>
          <w:highlight w:val="none"/>
        </w:rPr>
        <w:t>3</w:t>
      </w:r>
      <w:r>
        <w:rPr>
          <w:rFonts w:hint="eastAsia"/>
          <w:color w:val="auto"/>
          <w:highlight w:val="none"/>
          <w:lang w:val="en-US" w:eastAsia="zh-CN"/>
        </w:rPr>
        <w:t>8</w:t>
      </w:r>
      <w:r>
        <w:rPr>
          <w:color w:val="auto"/>
          <w:highlight w:val="none"/>
        </w:rPr>
        <w:fldChar w:fldCharType="end"/>
      </w:r>
      <w:r>
        <w:rPr>
          <w:color w:val="auto"/>
          <w:highlight w:val="none"/>
        </w:rPr>
        <w:fldChar w:fldCharType="end"/>
      </w:r>
    </w:p>
    <w:p w14:paraId="4CFF412E">
      <w:pPr>
        <w:pStyle w:val="16"/>
        <w:rPr>
          <w:color w:val="auto"/>
          <w:kern w:val="2"/>
          <w:sz w:val="21"/>
          <w:highlight w:val="none"/>
        </w:rPr>
      </w:pPr>
      <w:r>
        <w:rPr>
          <w:color w:val="auto"/>
          <w:highlight w:val="none"/>
        </w:rPr>
        <w:fldChar w:fldCharType="begin"/>
      </w:r>
      <w:r>
        <w:rPr>
          <w:color w:val="auto"/>
          <w:highlight w:val="none"/>
        </w:rPr>
        <w:instrText xml:space="preserve"> HYPERLINK \l "_Toc23715275" </w:instrText>
      </w:r>
      <w:r>
        <w:rPr>
          <w:color w:val="auto"/>
          <w:highlight w:val="none"/>
        </w:rPr>
        <w:fldChar w:fldCharType="separate"/>
      </w:r>
      <w:r>
        <w:rPr>
          <w:rStyle w:val="25"/>
          <w:rFonts w:hint="eastAsia" w:ascii="黑体" w:hAnsi="黑体" w:eastAsia="黑体"/>
          <w:color w:val="auto"/>
          <w:spacing w:val="12"/>
          <w:highlight w:val="none"/>
        </w:rPr>
        <w:t>附件</w:t>
      </w:r>
      <w:r>
        <w:rPr>
          <w:rStyle w:val="25"/>
          <w:rFonts w:ascii="黑体" w:hAnsi="黑体" w:eastAsia="黑体"/>
          <w:color w:val="auto"/>
          <w:spacing w:val="12"/>
          <w:highlight w:val="none"/>
        </w:rPr>
        <w:t xml:space="preserve">4  </w:t>
      </w:r>
      <w:r>
        <w:rPr>
          <w:rStyle w:val="25"/>
          <w:rFonts w:hint="eastAsia" w:ascii="黑体" w:hAnsi="黑体" w:eastAsia="黑体"/>
          <w:color w:val="auto"/>
          <w:spacing w:val="12"/>
          <w:highlight w:val="none"/>
        </w:rPr>
        <w:t>承诺书</w:t>
      </w:r>
      <w:r>
        <w:rPr>
          <w:color w:val="auto"/>
          <w:highlight w:val="none"/>
        </w:rPr>
        <w:tab/>
      </w:r>
      <w:r>
        <w:rPr>
          <w:color w:val="auto"/>
          <w:highlight w:val="none"/>
        </w:rPr>
        <w:fldChar w:fldCharType="begin"/>
      </w:r>
      <w:r>
        <w:rPr>
          <w:color w:val="auto"/>
          <w:highlight w:val="none"/>
        </w:rPr>
        <w:instrText xml:space="preserve"> PAGEREF _Toc23715275 \h </w:instrText>
      </w:r>
      <w:r>
        <w:rPr>
          <w:color w:val="auto"/>
          <w:highlight w:val="none"/>
        </w:rPr>
        <w:fldChar w:fldCharType="separate"/>
      </w:r>
      <w:r>
        <w:rPr>
          <w:color w:val="auto"/>
          <w:highlight w:val="none"/>
        </w:rPr>
        <w:t>3</w:t>
      </w:r>
      <w:r>
        <w:rPr>
          <w:rFonts w:hint="eastAsia"/>
          <w:color w:val="auto"/>
          <w:highlight w:val="none"/>
          <w:lang w:val="en-US" w:eastAsia="zh-CN"/>
        </w:rPr>
        <w:t>9</w:t>
      </w:r>
      <w:r>
        <w:rPr>
          <w:color w:val="auto"/>
          <w:highlight w:val="none"/>
        </w:rPr>
        <w:fldChar w:fldCharType="end"/>
      </w:r>
      <w:r>
        <w:rPr>
          <w:color w:val="auto"/>
          <w:highlight w:val="none"/>
        </w:rPr>
        <w:fldChar w:fldCharType="end"/>
      </w:r>
    </w:p>
    <w:p w14:paraId="44FAFB92">
      <w:pPr>
        <w:pStyle w:val="16"/>
        <w:rPr>
          <w:rFonts w:hint="eastAsia" w:eastAsia="宋体"/>
          <w:color w:val="auto"/>
          <w:kern w:val="2"/>
          <w:sz w:val="21"/>
          <w:highlight w:val="none"/>
          <w:lang w:val="en-US" w:eastAsia="zh-CN"/>
        </w:rPr>
      </w:pPr>
      <w:r>
        <w:rPr>
          <w:color w:val="auto"/>
          <w:highlight w:val="none"/>
        </w:rPr>
        <w:fldChar w:fldCharType="begin"/>
      </w:r>
      <w:r>
        <w:rPr>
          <w:color w:val="auto"/>
          <w:highlight w:val="none"/>
        </w:rPr>
        <w:instrText xml:space="preserve"> HYPERLINK \l "_Toc23715277" </w:instrText>
      </w:r>
      <w:r>
        <w:rPr>
          <w:color w:val="auto"/>
          <w:highlight w:val="none"/>
        </w:rPr>
        <w:fldChar w:fldCharType="separate"/>
      </w:r>
      <w:r>
        <w:rPr>
          <w:rStyle w:val="25"/>
          <w:rFonts w:hint="eastAsia" w:ascii="黑体" w:hAnsi="黑体" w:eastAsia="黑体"/>
          <w:color w:val="auto"/>
          <w:spacing w:val="12"/>
          <w:highlight w:val="none"/>
        </w:rPr>
        <w:t>附件5</w:t>
      </w:r>
      <w:r>
        <w:rPr>
          <w:rStyle w:val="25"/>
          <w:rFonts w:ascii="黑体" w:hAnsi="黑体" w:eastAsia="黑体"/>
          <w:color w:val="auto"/>
          <w:spacing w:val="12"/>
          <w:highlight w:val="none"/>
        </w:rPr>
        <w:t xml:space="preserve">  </w:t>
      </w:r>
      <w:r>
        <w:rPr>
          <w:rStyle w:val="25"/>
          <w:rFonts w:hint="eastAsia" w:ascii="黑体" w:hAnsi="黑体" w:eastAsia="黑体"/>
          <w:color w:val="auto"/>
          <w:spacing w:val="12"/>
          <w:highlight w:val="none"/>
        </w:rPr>
        <w:t>商务差异表</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0</w:t>
      </w:r>
    </w:p>
    <w:p w14:paraId="66E77718">
      <w:pPr>
        <w:pStyle w:val="16"/>
        <w:rPr>
          <w:color w:val="auto"/>
          <w:kern w:val="2"/>
          <w:sz w:val="21"/>
          <w:highlight w:val="none"/>
        </w:rPr>
      </w:pPr>
      <w:r>
        <w:rPr>
          <w:color w:val="auto"/>
          <w:highlight w:val="none"/>
        </w:rPr>
        <w:fldChar w:fldCharType="begin"/>
      </w:r>
      <w:r>
        <w:rPr>
          <w:color w:val="auto"/>
          <w:highlight w:val="none"/>
        </w:rPr>
        <w:instrText xml:space="preserve"> HYPERLINK \l "_Toc23715278" </w:instrText>
      </w:r>
      <w:r>
        <w:rPr>
          <w:color w:val="auto"/>
          <w:highlight w:val="none"/>
        </w:rPr>
        <w:fldChar w:fldCharType="separate"/>
      </w:r>
      <w:r>
        <w:rPr>
          <w:rStyle w:val="25"/>
          <w:rFonts w:hint="eastAsia" w:ascii="黑体" w:hAnsi="黑体" w:eastAsia="黑体"/>
          <w:color w:val="auto"/>
          <w:spacing w:val="12"/>
          <w:highlight w:val="none"/>
        </w:rPr>
        <w:t>附件6</w:t>
      </w:r>
      <w:r>
        <w:rPr>
          <w:rStyle w:val="25"/>
          <w:rFonts w:ascii="黑体" w:hAnsi="黑体" w:eastAsia="黑体"/>
          <w:color w:val="auto"/>
          <w:spacing w:val="12"/>
          <w:highlight w:val="none"/>
        </w:rPr>
        <w:t xml:space="preserve">  </w:t>
      </w:r>
      <w:r>
        <w:rPr>
          <w:rStyle w:val="25"/>
          <w:rFonts w:hint="eastAsia" w:ascii="黑体" w:hAnsi="黑体" w:eastAsia="黑体"/>
          <w:color w:val="auto"/>
          <w:spacing w:val="12"/>
          <w:highlight w:val="none"/>
        </w:rPr>
        <w:t>资格申明</w:t>
      </w:r>
      <w:r>
        <w:rPr>
          <w:color w:val="auto"/>
          <w:highlight w:val="none"/>
        </w:rPr>
        <w:tab/>
      </w:r>
      <w:r>
        <w:rPr>
          <w:color w:val="auto"/>
          <w:highlight w:val="none"/>
        </w:rPr>
        <w:fldChar w:fldCharType="begin"/>
      </w:r>
      <w:r>
        <w:rPr>
          <w:color w:val="auto"/>
          <w:highlight w:val="none"/>
        </w:rPr>
        <w:instrText xml:space="preserve"> PAGEREF _Toc23715278 \h </w:instrText>
      </w:r>
      <w:r>
        <w:rPr>
          <w:color w:val="auto"/>
          <w:highlight w:val="none"/>
        </w:rPr>
        <w:fldChar w:fldCharType="separate"/>
      </w:r>
      <w:r>
        <w:rPr>
          <w:color w:val="auto"/>
          <w:highlight w:val="none"/>
        </w:rPr>
        <w:t>4</w:t>
      </w:r>
      <w:r>
        <w:rPr>
          <w:rFonts w:hint="eastAsia"/>
          <w:color w:val="auto"/>
          <w:highlight w:val="none"/>
          <w:lang w:val="en-US" w:eastAsia="zh-CN"/>
        </w:rPr>
        <w:t>1</w:t>
      </w:r>
      <w:r>
        <w:rPr>
          <w:color w:val="auto"/>
          <w:highlight w:val="none"/>
        </w:rPr>
        <w:fldChar w:fldCharType="end"/>
      </w:r>
      <w:r>
        <w:rPr>
          <w:color w:val="auto"/>
          <w:highlight w:val="none"/>
        </w:rPr>
        <w:fldChar w:fldCharType="end"/>
      </w:r>
    </w:p>
    <w:p w14:paraId="1166AFCE">
      <w:pPr>
        <w:pStyle w:val="16"/>
        <w:rPr>
          <w:color w:val="auto"/>
          <w:kern w:val="2"/>
          <w:sz w:val="21"/>
          <w:highlight w:val="none"/>
        </w:rPr>
      </w:pPr>
      <w:r>
        <w:rPr>
          <w:color w:val="auto"/>
          <w:highlight w:val="none"/>
        </w:rPr>
        <w:fldChar w:fldCharType="begin"/>
      </w:r>
      <w:r>
        <w:rPr>
          <w:color w:val="auto"/>
          <w:highlight w:val="none"/>
        </w:rPr>
        <w:instrText xml:space="preserve"> HYPERLINK \l "_Toc23715279" </w:instrText>
      </w:r>
      <w:r>
        <w:rPr>
          <w:color w:val="auto"/>
          <w:highlight w:val="none"/>
        </w:rPr>
        <w:fldChar w:fldCharType="separate"/>
      </w:r>
      <w:r>
        <w:rPr>
          <w:rStyle w:val="25"/>
          <w:rFonts w:hint="eastAsia" w:ascii="黑体" w:hAnsi="黑体" w:eastAsia="黑体"/>
          <w:color w:val="auto"/>
          <w:spacing w:val="10"/>
          <w:highlight w:val="none"/>
        </w:rPr>
        <w:t>附件7</w:t>
      </w:r>
      <w:r>
        <w:rPr>
          <w:rStyle w:val="25"/>
          <w:rFonts w:ascii="黑体" w:hAnsi="黑体" w:eastAsia="黑体"/>
          <w:color w:val="auto"/>
          <w:spacing w:val="10"/>
          <w:highlight w:val="none"/>
        </w:rPr>
        <w:t xml:space="preserve">  </w:t>
      </w:r>
      <w:r>
        <w:rPr>
          <w:rStyle w:val="25"/>
          <w:rFonts w:hint="eastAsia" w:ascii="黑体" w:hAnsi="黑体" w:eastAsia="黑体"/>
          <w:color w:val="auto"/>
          <w:spacing w:val="10"/>
          <w:highlight w:val="none"/>
        </w:rPr>
        <w:t>在经营活动中没有重大违法记录的书面声明</w:t>
      </w:r>
      <w:r>
        <w:rPr>
          <w:color w:val="auto"/>
          <w:highlight w:val="none"/>
        </w:rPr>
        <w:tab/>
      </w:r>
      <w:r>
        <w:rPr>
          <w:color w:val="auto"/>
          <w:highlight w:val="none"/>
        </w:rPr>
        <w:fldChar w:fldCharType="begin"/>
      </w:r>
      <w:r>
        <w:rPr>
          <w:color w:val="auto"/>
          <w:highlight w:val="none"/>
        </w:rPr>
        <w:instrText xml:space="preserve"> PAGEREF _Toc23715279 \h </w:instrText>
      </w:r>
      <w:r>
        <w:rPr>
          <w:color w:val="auto"/>
          <w:highlight w:val="none"/>
        </w:rPr>
        <w:fldChar w:fldCharType="separate"/>
      </w:r>
      <w:r>
        <w:rPr>
          <w:color w:val="auto"/>
          <w:highlight w:val="none"/>
        </w:rPr>
        <w:t>4</w:t>
      </w:r>
      <w:r>
        <w:rPr>
          <w:rFonts w:hint="eastAsia"/>
          <w:color w:val="auto"/>
          <w:highlight w:val="none"/>
          <w:lang w:val="en-US" w:eastAsia="zh-CN"/>
        </w:rPr>
        <w:t>2</w:t>
      </w:r>
      <w:r>
        <w:rPr>
          <w:color w:val="auto"/>
          <w:highlight w:val="none"/>
        </w:rPr>
        <w:fldChar w:fldCharType="end"/>
      </w:r>
      <w:r>
        <w:rPr>
          <w:color w:val="auto"/>
          <w:highlight w:val="none"/>
        </w:rPr>
        <w:fldChar w:fldCharType="end"/>
      </w:r>
    </w:p>
    <w:p w14:paraId="667B5A83">
      <w:pPr>
        <w:pStyle w:val="16"/>
        <w:rPr>
          <w:color w:val="auto"/>
          <w:highlight w:val="none"/>
        </w:rPr>
      </w:pPr>
      <w:r>
        <w:rPr>
          <w:color w:val="auto"/>
          <w:highlight w:val="none"/>
        </w:rPr>
        <w:fldChar w:fldCharType="begin"/>
      </w:r>
      <w:r>
        <w:rPr>
          <w:color w:val="auto"/>
          <w:highlight w:val="none"/>
        </w:rPr>
        <w:instrText xml:space="preserve"> HYPERLINK \l "_Toc23715280" </w:instrText>
      </w:r>
      <w:r>
        <w:rPr>
          <w:color w:val="auto"/>
          <w:highlight w:val="none"/>
        </w:rPr>
        <w:fldChar w:fldCharType="separate"/>
      </w:r>
      <w:r>
        <w:rPr>
          <w:rStyle w:val="25"/>
          <w:rFonts w:hint="eastAsia" w:ascii="黑体" w:hAnsi="黑体" w:eastAsia="黑体"/>
          <w:color w:val="auto"/>
          <w:spacing w:val="12"/>
          <w:highlight w:val="none"/>
        </w:rPr>
        <w:t>附件8</w:t>
      </w:r>
      <w:r>
        <w:rPr>
          <w:rStyle w:val="25"/>
          <w:rFonts w:ascii="黑体" w:hAnsi="黑体" w:eastAsia="黑体"/>
          <w:color w:val="auto"/>
          <w:spacing w:val="12"/>
          <w:highlight w:val="none"/>
        </w:rPr>
        <w:t xml:space="preserve">  </w:t>
      </w:r>
      <w:r>
        <w:rPr>
          <w:rStyle w:val="25"/>
          <w:rFonts w:hint="eastAsia" w:ascii="黑体" w:hAnsi="黑体" w:eastAsia="黑体"/>
          <w:color w:val="auto"/>
          <w:spacing w:val="12"/>
          <w:highlight w:val="none"/>
        </w:rPr>
        <w:t>开标一览表</w:t>
      </w:r>
      <w:bookmarkStart w:id="4" w:name="OLE_LINK3"/>
      <w:r>
        <w:rPr>
          <w:color w:val="auto"/>
          <w:highlight w:val="none"/>
        </w:rPr>
        <w:tab/>
      </w:r>
      <w:bookmarkEnd w:id="4"/>
      <w:r>
        <w:rPr>
          <w:color w:val="auto"/>
          <w:highlight w:val="none"/>
        </w:rPr>
        <w:fldChar w:fldCharType="begin"/>
      </w:r>
      <w:r>
        <w:rPr>
          <w:color w:val="auto"/>
          <w:highlight w:val="none"/>
        </w:rPr>
        <w:instrText xml:space="preserve"> PAGEREF _Toc23715280 \h </w:instrText>
      </w:r>
      <w:r>
        <w:rPr>
          <w:color w:val="auto"/>
          <w:highlight w:val="none"/>
        </w:rPr>
        <w:fldChar w:fldCharType="separate"/>
      </w:r>
      <w:r>
        <w:rPr>
          <w:color w:val="auto"/>
          <w:highlight w:val="none"/>
        </w:rPr>
        <w:t>4</w:t>
      </w:r>
      <w:r>
        <w:rPr>
          <w:rFonts w:hint="eastAsia"/>
          <w:color w:val="auto"/>
          <w:highlight w:val="none"/>
          <w:lang w:val="en-US" w:eastAsia="zh-CN"/>
        </w:rPr>
        <w:t>4</w:t>
      </w:r>
      <w:r>
        <w:rPr>
          <w:color w:val="auto"/>
          <w:highlight w:val="none"/>
        </w:rPr>
        <w:fldChar w:fldCharType="end"/>
      </w:r>
      <w:r>
        <w:rPr>
          <w:color w:val="auto"/>
          <w:highlight w:val="none"/>
        </w:rPr>
        <w:fldChar w:fldCharType="end"/>
      </w:r>
    </w:p>
    <w:p w14:paraId="614A8C4B">
      <w:pPr>
        <w:pStyle w:val="16"/>
        <w:bidi w:val="0"/>
        <w:rPr>
          <w:rStyle w:val="23"/>
          <w:rFonts w:hint="default" w:ascii="黑体" w:hAnsi="黑体" w:eastAsia="宋体"/>
          <w:b/>
          <w:bCs w:val="0"/>
          <w:color w:val="auto"/>
          <w:spacing w:val="12"/>
          <w:sz w:val="21"/>
          <w:highlight w:val="none"/>
          <w:lang w:val="en-US" w:eastAsia="zh-CN"/>
        </w:rPr>
      </w:pPr>
      <w:r>
        <w:rPr>
          <w:rStyle w:val="23"/>
          <w:rFonts w:hint="eastAsia" w:ascii="黑体" w:hAnsi="黑体" w:eastAsia="黑体"/>
          <w:b w:val="0"/>
          <w:bCs/>
          <w:color w:val="auto"/>
          <w:spacing w:val="12"/>
          <w:sz w:val="21"/>
          <w:highlight w:val="none"/>
        </w:rPr>
        <w:t>附件</w:t>
      </w:r>
      <w:r>
        <w:rPr>
          <w:rStyle w:val="23"/>
          <w:rFonts w:hint="eastAsia" w:ascii="黑体" w:hAnsi="黑体" w:eastAsia="黑体"/>
          <w:b w:val="0"/>
          <w:bCs/>
          <w:color w:val="auto"/>
          <w:spacing w:val="12"/>
          <w:sz w:val="21"/>
          <w:highlight w:val="none"/>
          <w:lang w:val="en-US" w:eastAsia="zh-CN"/>
        </w:rPr>
        <w:t>9</w:t>
      </w:r>
      <w:r>
        <w:rPr>
          <w:rStyle w:val="23"/>
          <w:rFonts w:hint="eastAsia" w:ascii="黑体" w:hAnsi="黑体" w:eastAsia="黑体"/>
          <w:b w:val="0"/>
          <w:bCs/>
          <w:color w:val="auto"/>
          <w:spacing w:val="12"/>
          <w:sz w:val="21"/>
          <w:highlight w:val="none"/>
        </w:rPr>
        <w:t xml:space="preserve"> 廉政承诺书</w:t>
      </w:r>
      <w:r>
        <w:rPr>
          <w:color w:val="auto"/>
          <w:highlight w:val="none"/>
        </w:rPr>
        <w:tab/>
      </w:r>
      <w:r>
        <w:rPr>
          <w:rFonts w:hint="eastAsia"/>
          <w:color w:val="auto"/>
          <w:highlight w:val="none"/>
          <w:lang w:val="en-US" w:eastAsia="zh-CN"/>
        </w:rPr>
        <w:t>46</w:t>
      </w:r>
    </w:p>
    <w:p w14:paraId="74AC2C92">
      <w:pPr>
        <w:pStyle w:val="16"/>
        <w:bidi w:val="0"/>
        <w:rPr>
          <w:rStyle w:val="23"/>
          <w:rFonts w:hint="default" w:ascii="黑体" w:hAnsi="黑体" w:eastAsia="宋体"/>
          <w:b/>
          <w:bCs w:val="0"/>
          <w:color w:val="auto"/>
          <w:spacing w:val="12"/>
          <w:sz w:val="21"/>
          <w:highlight w:val="none"/>
          <w:lang w:val="en-US" w:eastAsia="zh-CN"/>
        </w:rPr>
      </w:pPr>
      <w:r>
        <w:rPr>
          <w:rStyle w:val="23"/>
          <w:rFonts w:hint="eastAsia" w:ascii="黑体" w:hAnsi="黑体" w:eastAsia="黑体"/>
          <w:b w:val="0"/>
          <w:bCs/>
          <w:color w:val="auto"/>
          <w:spacing w:val="12"/>
          <w:sz w:val="21"/>
          <w:highlight w:val="none"/>
        </w:rPr>
        <w:t>资格性自查索引表</w:t>
      </w:r>
      <w:r>
        <w:rPr>
          <w:color w:val="auto"/>
          <w:highlight w:val="none"/>
        </w:rPr>
        <w:tab/>
      </w:r>
      <w:r>
        <w:rPr>
          <w:rFonts w:hint="eastAsia"/>
          <w:color w:val="auto"/>
          <w:highlight w:val="none"/>
          <w:lang w:val="en-US" w:eastAsia="zh-CN"/>
        </w:rPr>
        <w:t>47</w:t>
      </w:r>
    </w:p>
    <w:p w14:paraId="179FF94D">
      <w:pPr>
        <w:pStyle w:val="16"/>
        <w:bidi w:val="0"/>
        <w:rPr>
          <w:rStyle w:val="23"/>
          <w:rFonts w:hint="default" w:ascii="黑体" w:hAnsi="黑体" w:eastAsia="宋体"/>
          <w:b/>
          <w:bCs w:val="0"/>
          <w:color w:val="auto"/>
          <w:spacing w:val="12"/>
          <w:sz w:val="21"/>
          <w:highlight w:val="none"/>
          <w:lang w:val="en-US" w:eastAsia="zh-CN"/>
        </w:rPr>
      </w:pPr>
      <w:r>
        <w:rPr>
          <w:rStyle w:val="23"/>
          <w:rFonts w:hint="eastAsia" w:ascii="黑体" w:hAnsi="黑体" w:eastAsia="黑体"/>
          <w:b w:val="0"/>
          <w:bCs/>
          <w:color w:val="auto"/>
          <w:spacing w:val="12"/>
          <w:sz w:val="21"/>
          <w:highlight w:val="none"/>
          <w:lang w:val="en-US" w:eastAsia="zh-CN"/>
        </w:rPr>
        <w:t>符合</w:t>
      </w:r>
      <w:r>
        <w:rPr>
          <w:rStyle w:val="23"/>
          <w:rFonts w:hint="eastAsia" w:ascii="黑体" w:hAnsi="黑体" w:eastAsia="黑体"/>
          <w:b w:val="0"/>
          <w:bCs/>
          <w:color w:val="auto"/>
          <w:spacing w:val="12"/>
          <w:sz w:val="21"/>
          <w:highlight w:val="none"/>
        </w:rPr>
        <w:t>性自查索引表</w:t>
      </w:r>
      <w:r>
        <w:rPr>
          <w:color w:val="auto"/>
          <w:highlight w:val="none"/>
        </w:rPr>
        <w:tab/>
      </w:r>
      <w:r>
        <w:rPr>
          <w:rFonts w:hint="eastAsia"/>
          <w:color w:val="auto"/>
          <w:highlight w:val="none"/>
          <w:lang w:val="en-US" w:eastAsia="zh-CN"/>
        </w:rPr>
        <w:t>48</w:t>
      </w:r>
    </w:p>
    <w:p w14:paraId="5AEAE321">
      <w:pPr>
        <w:pStyle w:val="16"/>
        <w:bidi w:val="0"/>
        <w:rPr>
          <w:rStyle w:val="23"/>
          <w:rFonts w:hint="default" w:ascii="黑体" w:hAnsi="黑体" w:eastAsia="宋体"/>
          <w:b/>
          <w:bCs w:val="0"/>
          <w:color w:val="auto"/>
          <w:spacing w:val="12"/>
          <w:sz w:val="21"/>
          <w:highlight w:val="none"/>
          <w:lang w:val="en-US" w:eastAsia="zh-CN"/>
        </w:rPr>
      </w:pPr>
      <w:r>
        <w:rPr>
          <w:rStyle w:val="23"/>
          <w:rFonts w:hint="eastAsia" w:ascii="黑体" w:hAnsi="黑体" w:eastAsia="黑体"/>
          <w:b w:val="0"/>
          <w:bCs/>
          <w:color w:val="auto"/>
          <w:spacing w:val="12"/>
          <w:sz w:val="21"/>
          <w:highlight w:val="none"/>
          <w:lang w:val="en-US" w:eastAsia="zh-CN"/>
        </w:rPr>
        <w:t>商务技术评审</w:t>
      </w:r>
      <w:r>
        <w:rPr>
          <w:rStyle w:val="23"/>
          <w:rFonts w:hint="eastAsia" w:ascii="黑体" w:hAnsi="黑体" w:eastAsia="黑体"/>
          <w:b w:val="0"/>
          <w:bCs/>
          <w:color w:val="auto"/>
          <w:spacing w:val="12"/>
          <w:sz w:val="21"/>
          <w:highlight w:val="none"/>
        </w:rPr>
        <w:t>索引表</w:t>
      </w:r>
      <w:r>
        <w:rPr>
          <w:color w:val="auto"/>
          <w:highlight w:val="none"/>
        </w:rPr>
        <w:tab/>
      </w:r>
      <w:r>
        <w:rPr>
          <w:rFonts w:hint="eastAsia"/>
          <w:color w:val="auto"/>
          <w:highlight w:val="none"/>
          <w:lang w:val="en-US" w:eastAsia="zh-CN"/>
        </w:rPr>
        <w:t>49</w:t>
      </w:r>
    </w:p>
    <w:p w14:paraId="3D8E372C">
      <w:pPr>
        <w:rPr>
          <w:color w:val="auto"/>
          <w:highlight w:val="none"/>
        </w:rPr>
      </w:pPr>
    </w:p>
    <w:p w14:paraId="0F7AB0DB">
      <w:pPr>
        <w:rPr>
          <w:color w:val="auto"/>
          <w:highlight w:val="none"/>
        </w:rPr>
      </w:pPr>
    </w:p>
    <w:p w14:paraId="1DD51B8E">
      <w:pPr>
        <w:rPr>
          <w:color w:val="auto"/>
          <w:highlight w:val="none"/>
        </w:rPr>
      </w:pPr>
    </w:p>
    <w:p w14:paraId="5374153C">
      <w:pPr>
        <w:spacing w:line="360" w:lineRule="auto"/>
        <w:rPr>
          <w:rFonts w:ascii="黑体" w:hAnsi="黑体" w:eastAsia="黑体"/>
          <w:color w:val="auto"/>
          <w:highlight w:val="none"/>
        </w:rPr>
      </w:pPr>
      <w:r>
        <w:rPr>
          <w:rFonts w:ascii="黑体" w:hAnsi="黑体" w:eastAsia="黑体"/>
          <w:b/>
          <w:bCs/>
          <w:color w:val="auto"/>
          <w:highlight w:val="none"/>
          <w:lang w:val="zh-CN"/>
        </w:rPr>
        <w:fldChar w:fldCharType="end"/>
      </w:r>
    </w:p>
    <w:p w14:paraId="391E5520">
      <w:pPr>
        <w:rPr>
          <w:rFonts w:ascii="黑体" w:hAnsi="黑体" w:eastAsia="黑体"/>
          <w:color w:val="auto"/>
          <w:highlight w:val="none"/>
        </w:rPr>
      </w:pPr>
    </w:p>
    <w:p w14:paraId="3BC0B735">
      <w:pPr>
        <w:rPr>
          <w:rFonts w:ascii="黑体" w:hAnsi="黑体" w:eastAsia="黑体"/>
          <w:color w:val="auto"/>
          <w:highlight w:val="none"/>
        </w:rPr>
      </w:pPr>
    </w:p>
    <w:p w14:paraId="4DCB21BA">
      <w:pPr>
        <w:tabs>
          <w:tab w:val="left" w:pos="4931"/>
        </w:tabs>
        <w:rPr>
          <w:rFonts w:ascii="黑体" w:hAnsi="黑体" w:eastAsia="黑体"/>
          <w:color w:val="auto"/>
          <w:highlight w:val="none"/>
        </w:rPr>
      </w:pPr>
      <w:r>
        <w:rPr>
          <w:rFonts w:ascii="黑体" w:hAnsi="黑体" w:eastAsia="黑体"/>
          <w:color w:val="auto"/>
          <w:highlight w:val="none"/>
        </w:rPr>
        <w:tab/>
      </w:r>
    </w:p>
    <w:p w14:paraId="7C1EE71A">
      <w:pPr>
        <w:pStyle w:val="2"/>
        <w:pageBreakBefore/>
        <w:spacing w:before="120" w:after="120" w:line="360" w:lineRule="auto"/>
        <w:jc w:val="center"/>
        <w:rPr>
          <w:rFonts w:ascii="黑体" w:hAnsi="黑体" w:eastAsia="黑体"/>
          <w:color w:val="auto"/>
          <w:spacing w:val="20"/>
          <w:sz w:val="32"/>
          <w:szCs w:val="32"/>
          <w:highlight w:val="none"/>
        </w:rPr>
      </w:pPr>
      <w:bookmarkStart w:id="5" w:name="_Toc23715265"/>
      <w:r>
        <w:rPr>
          <w:rFonts w:hint="eastAsia" w:ascii="黑体" w:hAnsi="黑体" w:eastAsia="黑体"/>
          <w:color w:val="auto"/>
          <w:spacing w:val="20"/>
          <w:sz w:val="32"/>
          <w:szCs w:val="32"/>
          <w:highlight w:val="none"/>
        </w:rPr>
        <w:t>第一部分 投标邀请函</w:t>
      </w:r>
      <w:bookmarkEnd w:id="1"/>
      <w:bookmarkEnd w:id="2"/>
      <w:bookmarkEnd w:id="3"/>
      <w:bookmarkEnd w:id="5"/>
    </w:p>
    <w:p w14:paraId="15EA45D2">
      <w:pPr>
        <w:pStyle w:val="34"/>
        <w:keepNext w:val="0"/>
        <w:keepLines w:val="0"/>
        <w:pageBreakBefore w:val="0"/>
        <w:widowControl w:val="0"/>
        <w:kinsoku/>
        <w:wordWrap/>
        <w:overflowPunct/>
        <w:topLinePunct w:val="0"/>
        <w:autoSpaceDE/>
        <w:autoSpaceDN/>
        <w:bidi w:val="0"/>
        <w:adjustRightInd/>
        <w:snapToGrid/>
        <w:spacing w:line="360" w:lineRule="auto"/>
        <w:ind w:firstLine="577"/>
        <w:textAlignment w:val="auto"/>
        <w:rPr>
          <w:rFonts w:ascii="Times New Roman" w:hAnsi="Times New Roman"/>
          <w:color w:val="auto"/>
          <w:sz w:val="28"/>
          <w:highlight w:val="none"/>
        </w:rPr>
      </w:pPr>
      <w:r>
        <w:rPr>
          <w:rFonts w:hint="eastAsia" w:ascii="黑体" w:hAnsi="黑体" w:eastAsia="黑体" w:cs="Times New Roman"/>
          <w:b/>
          <w:color w:val="auto"/>
          <w:kern w:val="2"/>
          <w:sz w:val="21"/>
          <w:szCs w:val="21"/>
          <w:highlight w:val="none"/>
          <w:lang w:val="en-US" w:eastAsia="zh-CN" w:bidi="ar-SA"/>
        </w:rPr>
        <w:t>东莞松山湖高新技术产业开发区招投标服务所（以下简称“招投标所”）受东莞松山湖高新技术产业开发区管理委员会（以下简称“采购人”）的委托，对松山湖高新区财政资金保值增值项目进行公开招标采购，欢迎符合资格条件的供应商投标。</w:t>
      </w:r>
    </w:p>
    <w:p w14:paraId="732F2526">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项目编号：</w:t>
      </w:r>
      <w:r>
        <w:rPr>
          <w:rFonts w:hint="eastAsia" w:ascii="黑体" w:hAnsi="黑体" w:eastAsia="黑体"/>
          <w:color w:val="auto"/>
          <w:szCs w:val="21"/>
          <w:highlight w:val="none"/>
          <w:lang w:val="en-US" w:eastAsia="zh-CN"/>
        </w:rPr>
        <w:t>SSLZB202601</w:t>
      </w:r>
    </w:p>
    <w:p w14:paraId="1F05B8FB">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项目名称：</w:t>
      </w:r>
      <w:r>
        <w:rPr>
          <w:rFonts w:hint="eastAsia" w:ascii="黑体" w:hAnsi="黑体" w:eastAsia="黑体" w:cs="Times New Roman"/>
          <w:b/>
          <w:color w:val="auto"/>
          <w:kern w:val="2"/>
          <w:sz w:val="21"/>
          <w:szCs w:val="21"/>
          <w:highlight w:val="none"/>
          <w:lang w:val="en-US" w:eastAsia="zh-CN" w:bidi="ar-SA"/>
        </w:rPr>
        <w:t>财政资金保值增值项目</w:t>
      </w:r>
    </w:p>
    <w:p w14:paraId="2A1A8E33">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采购预算：</w:t>
      </w:r>
      <w:r>
        <w:rPr>
          <w:rFonts w:hint="eastAsia" w:ascii="黑体" w:hAnsi="黑体" w:eastAsia="黑体"/>
          <w:color w:val="auto"/>
          <w:szCs w:val="21"/>
          <w:highlight w:val="none"/>
        </w:rPr>
        <w:t>资格项目，按实结算</w:t>
      </w:r>
    </w:p>
    <w:p w14:paraId="7E3B771C">
      <w:pPr>
        <w:pStyle w:val="32"/>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hanging="420" w:firstLineChars="0"/>
        <w:textAlignment w:val="auto"/>
        <w:rPr>
          <w:rFonts w:ascii="黑体" w:hAnsi="黑体" w:eastAsia="黑体"/>
          <w:b/>
          <w:color w:val="auto"/>
          <w:szCs w:val="21"/>
          <w:highlight w:val="none"/>
        </w:rPr>
      </w:pPr>
      <w:r>
        <w:rPr>
          <w:rFonts w:hint="eastAsia" w:ascii="黑体" w:hAnsi="黑体" w:eastAsia="黑体"/>
          <w:b/>
          <w:color w:val="auto"/>
          <w:szCs w:val="21"/>
          <w:highlight w:val="none"/>
        </w:rPr>
        <w:t>项目内容及要求</w:t>
      </w:r>
    </w:p>
    <w:p w14:paraId="3C8FFE20">
      <w:pPr>
        <w:pStyle w:val="32"/>
        <w:numPr>
          <w:ilvl w:val="0"/>
          <w:numId w:val="1"/>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项目内容：</w:t>
      </w:r>
      <w:r>
        <w:rPr>
          <w:rFonts w:hint="eastAsia" w:ascii="黑体" w:hAnsi="黑体" w:eastAsia="黑体" w:cs="Times New Roman"/>
          <w:b/>
          <w:color w:val="auto"/>
          <w:kern w:val="2"/>
          <w:sz w:val="21"/>
          <w:szCs w:val="21"/>
          <w:highlight w:val="none"/>
          <w:lang w:val="en-US" w:eastAsia="zh-CN" w:bidi="ar-SA"/>
        </w:rPr>
        <w:t>财政资金保值增值项目</w:t>
      </w:r>
    </w:p>
    <w:p w14:paraId="2ED93DFE">
      <w:pPr>
        <w:pStyle w:val="32"/>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0" w:hanging="420" w:firstLineChars="0"/>
        <w:textAlignment w:val="auto"/>
        <w:rPr>
          <w:rFonts w:ascii="黑体" w:hAnsi="黑体" w:eastAsia="黑体"/>
          <w:color w:val="auto"/>
          <w:szCs w:val="21"/>
          <w:highlight w:val="none"/>
        </w:rPr>
      </w:pPr>
      <w:r>
        <w:rPr>
          <w:rFonts w:hint="eastAsia" w:ascii="黑体" w:hAnsi="黑体" w:eastAsia="黑体"/>
          <w:color w:val="auto"/>
          <w:szCs w:val="21"/>
          <w:highlight w:val="none"/>
        </w:rPr>
        <w:t>项目要求：（详见用户需求书）</w:t>
      </w:r>
    </w:p>
    <w:p w14:paraId="3E3A6084">
      <w:pPr>
        <w:pStyle w:val="32"/>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hanging="420" w:firstLineChars="0"/>
        <w:textAlignment w:val="auto"/>
        <w:rPr>
          <w:rFonts w:ascii="黑体" w:hAnsi="黑体" w:eastAsia="黑体"/>
          <w:b/>
          <w:color w:val="auto"/>
          <w:szCs w:val="21"/>
          <w:highlight w:val="none"/>
        </w:rPr>
      </w:pPr>
      <w:r>
        <w:rPr>
          <w:rFonts w:hint="eastAsia" w:ascii="黑体" w:hAnsi="黑体" w:eastAsia="黑体"/>
          <w:b/>
          <w:color w:val="auto"/>
          <w:szCs w:val="21"/>
          <w:highlight w:val="none"/>
        </w:rPr>
        <w:t>合格投标人资格要求</w:t>
      </w:r>
    </w:p>
    <w:p w14:paraId="75288A6B">
      <w:pPr>
        <w:pStyle w:val="32"/>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hanging="420" w:firstLineChars="0"/>
        <w:textAlignment w:val="auto"/>
        <w:rPr>
          <w:rFonts w:ascii="黑体" w:hAnsi="黑体" w:eastAsia="黑体"/>
          <w:color w:val="auto"/>
          <w:szCs w:val="21"/>
          <w:highlight w:val="none"/>
        </w:rPr>
      </w:pPr>
      <w:r>
        <w:rPr>
          <w:rFonts w:hint="eastAsia" w:ascii="黑体" w:hAnsi="黑体" w:eastAsia="黑体"/>
          <w:color w:val="auto"/>
          <w:szCs w:val="21"/>
          <w:highlight w:val="none"/>
        </w:rPr>
        <w:t>投标人须为在国家金融监管机构正式注册的国有、股份制商业银行，在东莞市设有分行或以上分支机构，并在</w:t>
      </w:r>
      <w:r>
        <w:rPr>
          <w:rFonts w:hint="eastAsia" w:ascii="黑体" w:hAnsi="黑体" w:eastAsia="黑体"/>
          <w:color w:val="auto"/>
          <w:szCs w:val="21"/>
          <w:highlight w:val="none"/>
          <w:lang w:val="en-US" w:eastAsia="zh-CN"/>
        </w:rPr>
        <w:t>松山湖高新区</w:t>
      </w:r>
      <w:r>
        <w:rPr>
          <w:rFonts w:hint="eastAsia" w:ascii="黑体" w:hAnsi="黑体" w:eastAsia="黑体"/>
          <w:color w:val="auto"/>
          <w:szCs w:val="21"/>
          <w:highlight w:val="none"/>
        </w:rPr>
        <w:t>设有支行或以上级别网点。（同一银行设有多个分支机构的，只能委托一个分支机构参与投标）</w:t>
      </w:r>
      <w:r>
        <w:rPr>
          <w:rFonts w:hint="eastAsia" w:ascii="黑体" w:hAnsi="黑体" w:eastAsia="黑体"/>
          <w:color w:val="auto"/>
          <w:szCs w:val="21"/>
          <w:highlight w:val="none"/>
          <w:lang w:eastAsia="zh-CN"/>
        </w:rPr>
        <w:t>，分支机构参加投标须提供市级（含）以上分行或总行的授权证明</w:t>
      </w:r>
      <w:r>
        <w:rPr>
          <w:rFonts w:hint="eastAsia" w:ascii="黑体" w:hAnsi="黑体" w:eastAsia="黑体"/>
          <w:color w:val="auto"/>
          <w:szCs w:val="21"/>
          <w:highlight w:val="none"/>
        </w:rPr>
        <w:t>。</w:t>
      </w:r>
    </w:p>
    <w:p w14:paraId="7526B1CF">
      <w:pPr>
        <w:pStyle w:val="32"/>
        <w:numPr>
          <w:ilvl w:val="0"/>
          <w:numId w:val="3"/>
        </w:numPr>
        <w:spacing w:line="360" w:lineRule="auto"/>
        <w:ind w:firstLineChars="0"/>
        <w:rPr>
          <w:rFonts w:hint="eastAsia" w:ascii="黑体" w:hAnsi="黑体" w:eastAsia="黑体"/>
          <w:color w:val="auto"/>
          <w:szCs w:val="21"/>
          <w:highlight w:val="none"/>
        </w:rPr>
      </w:pPr>
      <w:r>
        <w:rPr>
          <w:rFonts w:hint="eastAsia" w:ascii="黑体" w:hAnsi="黑体" w:eastAsia="黑体"/>
          <w:color w:val="auto"/>
          <w:szCs w:val="21"/>
          <w:highlight w:val="none"/>
        </w:rPr>
        <w:t>投标人的单位负责人为同一人或者存在直接控股、管理关系的不同投标人，不得参加同一合同项下的采购活动</w:t>
      </w:r>
      <w:r>
        <w:rPr>
          <w:rFonts w:hint="eastAsia" w:ascii="黑体" w:hAnsi="黑体" w:eastAsia="黑体"/>
          <w:color w:val="auto"/>
          <w:szCs w:val="21"/>
          <w:highlight w:val="none"/>
          <w:lang w:eastAsia="zh-CN"/>
        </w:rPr>
        <w:t>，</w:t>
      </w:r>
      <w:r>
        <w:rPr>
          <w:rFonts w:hint="eastAsia" w:ascii="黑体" w:hAnsi="黑体" w:eastAsia="黑体"/>
          <w:color w:val="auto"/>
          <w:szCs w:val="21"/>
          <w:highlight w:val="none"/>
        </w:rPr>
        <w:t>为本项目提供整体设计、规范编制或者项目管理、监理、检测等服务的投标人，不得参加本采购项目的采购活动；</w:t>
      </w:r>
    </w:p>
    <w:p w14:paraId="67FBEB58">
      <w:pPr>
        <w:pStyle w:val="32"/>
        <w:numPr>
          <w:ilvl w:val="0"/>
          <w:numId w:val="3"/>
        </w:numPr>
        <w:spacing w:line="360" w:lineRule="auto"/>
        <w:ind w:firstLineChars="0"/>
        <w:rPr>
          <w:rFonts w:ascii="黑体" w:hAnsi="黑体" w:eastAsia="黑体"/>
          <w:color w:val="auto"/>
          <w:szCs w:val="21"/>
          <w:highlight w:val="none"/>
        </w:rPr>
      </w:pPr>
      <w:bookmarkStart w:id="6" w:name="OLE_LINK2"/>
      <w:r>
        <w:rPr>
          <w:rFonts w:ascii="黑体" w:hAnsi="黑体" w:eastAsia="黑体"/>
          <w:color w:val="auto"/>
          <w:szCs w:val="21"/>
          <w:highlight w:val="none"/>
        </w:rPr>
        <w:t>投标人</w:t>
      </w:r>
      <w:r>
        <w:rPr>
          <w:rFonts w:hint="eastAsia" w:ascii="黑体" w:hAnsi="黑体" w:eastAsia="黑体"/>
          <w:color w:val="auto"/>
          <w:szCs w:val="21"/>
          <w:highlight w:val="none"/>
        </w:rPr>
        <w:t>(</w:t>
      </w:r>
      <w:r>
        <w:rPr>
          <w:rFonts w:ascii="黑体" w:hAnsi="黑体" w:eastAsia="黑体"/>
          <w:color w:val="auto"/>
          <w:szCs w:val="21"/>
          <w:highlight w:val="none"/>
        </w:rPr>
        <w:t>含其授权的下属单位、分支机构</w:t>
      </w:r>
      <w:r>
        <w:rPr>
          <w:rFonts w:hint="eastAsia" w:ascii="黑体" w:hAnsi="黑体" w:eastAsia="黑体"/>
          <w:color w:val="auto"/>
          <w:szCs w:val="21"/>
          <w:highlight w:val="none"/>
        </w:rPr>
        <w:t>)参加本次采购活动前三年内，在经营活动中没有重大违法违规记录(须提供书面声明，格式详见招标文件第七部分投标文件格式)；</w:t>
      </w:r>
    </w:p>
    <w:p w14:paraId="3ABAA718">
      <w:pPr>
        <w:pStyle w:val="32"/>
        <w:numPr>
          <w:ilvl w:val="0"/>
          <w:numId w:val="3"/>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本项目不接受联合体投标。</w:t>
      </w:r>
    </w:p>
    <w:bookmarkEnd w:id="6"/>
    <w:p w14:paraId="507B487E">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招标文件公示期</w:t>
      </w:r>
    </w:p>
    <w:p w14:paraId="1FC055E8">
      <w:pPr>
        <w:pStyle w:val="32"/>
        <w:spacing w:line="360" w:lineRule="auto"/>
        <w:ind w:left="420" w:firstLine="0" w:firstLineChars="0"/>
        <w:rPr>
          <w:rFonts w:ascii="黑体" w:hAnsi="黑体" w:eastAsia="黑体"/>
          <w:color w:val="auto"/>
          <w:szCs w:val="21"/>
          <w:highlight w:val="none"/>
        </w:rPr>
      </w:pPr>
      <w:r>
        <w:rPr>
          <w:rFonts w:hint="eastAsia" w:ascii="黑体" w:hAnsi="黑体" w:eastAsia="黑体"/>
          <w:color w:val="auto"/>
          <w:szCs w:val="21"/>
          <w:highlight w:val="none"/>
        </w:rPr>
        <w:t>该项目招标文件公示期为：</w:t>
      </w:r>
      <w:r>
        <w:rPr>
          <w:rFonts w:hint="eastAsia" w:ascii="黑体" w:hAnsi="黑体" w:eastAsia="黑体"/>
          <w:b/>
          <w:color w:val="auto"/>
          <w:szCs w:val="21"/>
          <w:highlight w:val="none"/>
          <w:u w:val="single"/>
        </w:rPr>
        <w:t>202</w:t>
      </w:r>
      <w:r>
        <w:rPr>
          <w:rFonts w:hint="eastAsia" w:ascii="黑体" w:hAnsi="黑体" w:eastAsia="黑体"/>
          <w:b/>
          <w:color w:val="auto"/>
          <w:szCs w:val="21"/>
          <w:highlight w:val="none"/>
          <w:u w:val="single"/>
          <w:lang w:val="en-US" w:eastAsia="zh-CN"/>
        </w:rPr>
        <w:t>6</w:t>
      </w:r>
      <w:r>
        <w:rPr>
          <w:rFonts w:hint="eastAsia" w:ascii="黑体" w:hAnsi="黑体" w:eastAsia="黑体"/>
          <w:b/>
          <w:color w:val="auto"/>
          <w:szCs w:val="21"/>
          <w:highlight w:val="none"/>
          <w:u w:val="single"/>
        </w:rPr>
        <w:t>年</w:t>
      </w:r>
      <w:r>
        <w:rPr>
          <w:rFonts w:hint="eastAsia" w:ascii="黑体" w:hAnsi="黑体" w:eastAsia="黑体"/>
          <w:b/>
          <w:color w:val="auto"/>
          <w:szCs w:val="21"/>
          <w:highlight w:val="none"/>
          <w:u w:val="single"/>
          <w:lang w:val="en-US" w:eastAsia="zh-CN"/>
        </w:rPr>
        <w:t>9</w:t>
      </w:r>
      <w:r>
        <w:rPr>
          <w:rFonts w:hint="eastAsia" w:ascii="黑体" w:hAnsi="黑体" w:eastAsia="黑体"/>
          <w:b/>
          <w:color w:val="auto"/>
          <w:szCs w:val="21"/>
          <w:highlight w:val="none"/>
          <w:u w:val="single"/>
        </w:rPr>
        <w:t>月</w:t>
      </w:r>
      <w:r>
        <w:rPr>
          <w:rFonts w:hint="eastAsia" w:ascii="黑体" w:hAnsi="黑体" w:eastAsia="黑体"/>
          <w:b/>
          <w:color w:val="auto"/>
          <w:szCs w:val="21"/>
          <w:highlight w:val="none"/>
          <w:u w:val="single"/>
          <w:lang w:val="en-US" w:eastAsia="zh-CN"/>
        </w:rPr>
        <w:t>8</w:t>
      </w:r>
      <w:r>
        <w:rPr>
          <w:rFonts w:hint="eastAsia" w:ascii="黑体" w:hAnsi="黑体" w:eastAsia="黑体"/>
          <w:b/>
          <w:color w:val="auto"/>
          <w:szCs w:val="21"/>
          <w:highlight w:val="none"/>
          <w:u w:val="single"/>
        </w:rPr>
        <w:t>日至202</w:t>
      </w:r>
      <w:r>
        <w:rPr>
          <w:rFonts w:hint="eastAsia" w:ascii="黑体" w:hAnsi="黑体" w:eastAsia="黑体"/>
          <w:b/>
          <w:color w:val="auto"/>
          <w:szCs w:val="21"/>
          <w:highlight w:val="none"/>
          <w:u w:val="single"/>
          <w:lang w:val="en-US" w:eastAsia="zh-CN"/>
        </w:rPr>
        <w:t>6</w:t>
      </w:r>
      <w:r>
        <w:rPr>
          <w:rFonts w:hint="eastAsia" w:ascii="黑体" w:hAnsi="黑体" w:eastAsia="黑体"/>
          <w:b/>
          <w:color w:val="auto"/>
          <w:szCs w:val="21"/>
          <w:highlight w:val="none"/>
          <w:u w:val="single"/>
        </w:rPr>
        <w:t>年</w:t>
      </w:r>
      <w:r>
        <w:rPr>
          <w:rFonts w:hint="eastAsia" w:ascii="黑体" w:hAnsi="黑体" w:eastAsia="黑体"/>
          <w:b/>
          <w:color w:val="auto"/>
          <w:szCs w:val="21"/>
          <w:highlight w:val="none"/>
          <w:u w:val="single"/>
          <w:lang w:val="en-US" w:eastAsia="zh-CN"/>
        </w:rPr>
        <w:t>9</w:t>
      </w:r>
      <w:r>
        <w:rPr>
          <w:rFonts w:hint="eastAsia" w:ascii="黑体" w:hAnsi="黑体" w:eastAsia="黑体"/>
          <w:b/>
          <w:color w:val="auto"/>
          <w:szCs w:val="21"/>
          <w:highlight w:val="none"/>
          <w:u w:val="single"/>
        </w:rPr>
        <w:t>月</w:t>
      </w:r>
      <w:r>
        <w:rPr>
          <w:rFonts w:hint="eastAsia" w:ascii="黑体" w:hAnsi="黑体" w:eastAsia="黑体"/>
          <w:b/>
          <w:color w:val="auto"/>
          <w:szCs w:val="21"/>
          <w:highlight w:val="none"/>
          <w:u w:val="single"/>
          <w:lang w:val="en-US" w:eastAsia="zh-CN"/>
        </w:rPr>
        <w:t>15</w:t>
      </w:r>
      <w:r>
        <w:rPr>
          <w:rFonts w:hint="eastAsia" w:ascii="黑体" w:hAnsi="黑体" w:eastAsia="黑体"/>
          <w:b/>
          <w:color w:val="auto"/>
          <w:szCs w:val="21"/>
          <w:highlight w:val="none"/>
          <w:u w:val="single"/>
        </w:rPr>
        <w:t>日</w:t>
      </w:r>
      <w:r>
        <w:rPr>
          <w:rFonts w:hint="eastAsia" w:ascii="黑体" w:hAnsi="黑体" w:eastAsia="黑体"/>
          <w:color w:val="auto"/>
          <w:szCs w:val="21"/>
          <w:highlight w:val="none"/>
        </w:rPr>
        <w:t>。</w:t>
      </w:r>
    </w:p>
    <w:p w14:paraId="3C4B9956">
      <w:pPr>
        <w:pStyle w:val="32"/>
        <w:numPr>
          <w:ilvl w:val="0"/>
          <w:numId w:val="1"/>
        </w:numPr>
        <w:spacing w:line="360" w:lineRule="auto"/>
        <w:ind w:firstLineChars="0"/>
        <w:rPr>
          <w:rFonts w:ascii="黑体" w:hAnsi="黑体" w:eastAsia="黑体"/>
          <w:color w:val="auto"/>
          <w:szCs w:val="21"/>
          <w:highlight w:val="none"/>
        </w:rPr>
      </w:pPr>
      <w:r>
        <w:rPr>
          <w:rFonts w:hint="eastAsia" w:ascii="黑体" w:hAnsi="黑体" w:eastAsia="黑体"/>
          <w:b/>
          <w:color w:val="auto"/>
          <w:szCs w:val="21"/>
          <w:highlight w:val="none"/>
        </w:rPr>
        <w:t>符合资格的</w:t>
      </w:r>
      <w:r>
        <w:rPr>
          <w:rFonts w:hint="eastAsia" w:ascii="黑体" w:hAnsi="黑体" w:eastAsia="黑体"/>
          <w:b/>
          <w:color w:val="auto"/>
          <w:szCs w:val="21"/>
          <w:highlight w:val="none"/>
          <w:lang w:val="en-US" w:eastAsia="zh-CN"/>
        </w:rPr>
        <w:t>投标人</w:t>
      </w:r>
      <w:r>
        <w:rPr>
          <w:rFonts w:hint="eastAsia" w:ascii="黑体" w:hAnsi="黑体" w:eastAsia="黑体"/>
          <w:b/>
          <w:color w:val="auto"/>
          <w:szCs w:val="21"/>
          <w:highlight w:val="none"/>
        </w:rPr>
        <w:t>应当在</w:t>
      </w:r>
      <w:r>
        <w:rPr>
          <w:rFonts w:hint="eastAsia" w:ascii="黑体" w:hAnsi="黑体" w:eastAsia="黑体"/>
          <w:b/>
          <w:color w:val="auto"/>
          <w:szCs w:val="21"/>
          <w:highlight w:val="none"/>
          <w:u w:val="single"/>
        </w:rPr>
        <w:t>202</w:t>
      </w:r>
      <w:r>
        <w:rPr>
          <w:rFonts w:hint="eastAsia" w:ascii="黑体" w:hAnsi="黑体" w:eastAsia="黑体"/>
          <w:b/>
          <w:color w:val="auto"/>
          <w:szCs w:val="21"/>
          <w:highlight w:val="none"/>
          <w:u w:val="single"/>
          <w:lang w:val="en-US" w:eastAsia="zh-CN"/>
        </w:rPr>
        <w:t>6</w:t>
      </w:r>
      <w:r>
        <w:rPr>
          <w:rFonts w:hint="eastAsia" w:ascii="黑体" w:hAnsi="黑体" w:eastAsia="黑体"/>
          <w:b/>
          <w:color w:val="auto"/>
          <w:szCs w:val="21"/>
          <w:highlight w:val="none"/>
          <w:u w:val="single"/>
        </w:rPr>
        <w:t>年</w:t>
      </w:r>
      <w:r>
        <w:rPr>
          <w:rFonts w:hint="eastAsia" w:ascii="黑体" w:hAnsi="黑体" w:eastAsia="黑体"/>
          <w:b/>
          <w:color w:val="auto"/>
          <w:szCs w:val="21"/>
          <w:highlight w:val="none"/>
          <w:u w:val="single"/>
          <w:lang w:val="en-US" w:eastAsia="zh-CN"/>
        </w:rPr>
        <w:t>9</w:t>
      </w:r>
      <w:r>
        <w:rPr>
          <w:rFonts w:hint="eastAsia" w:ascii="黑体" w:hAnsi="黑体" w:eastAsia="黑体"/>
          <w:b/>
          <w:color w:val="auto"/>
          <w:szCs w:val="21"/>
          <w:highlight w:val="none"/>
          <w:u w:val="single"/>
        </w:rPr>
        <w:t>月</w:t>
      </w:r>
      <w:r>
        <w:rPr>
          <w:rFonts w:hint="eastAsia" w:ascii="黑体" w:hAnsi="黑体" w:eastAsia="黑体"/>
          <w:b/>
          <w:color w:val="auto"/>
          <w:szCs w:val="21"/>
          <w:highlight w:val="none"/>
          <w:u w:val="single"/>
          <w:lang w:val="en-US" w:eastAsia="zh-CN"/>
        </w:rPr>
        <w:t>8</w:t>
      </w:r>
      <w:r>
        <w:rPr>
          <w:rFonts w:hint="eastAsia" w:ascii="黑体" w:hAnsi="黑体" w:eastAsia="黑体"/>
          <w:b/>
          <w:color w:val="auto"/>
          <w:szCs w:val="21"/>
          <w:highlight w:val="none"/>
          <w:u w:val="single"/>
        </w:rPr>
        <w:t>日至202</w:t>
      </w:r>
      <w:r>
        <w:rPr>
          <w:rFonts w:hint="eastAsia" w:ascii="黑体" w:hAnsi="黑体" w:eastAsia="黑体"/>
          <w:b/>
          <w:color w:val="auto"/>
          <w:szCs w:val="21"/>
          <w:highlight w:val="none"/>
          <w:u w:val="single"/>
          <w:lang w:val="en-US" w:eastAsia="zh-CN"/>
        </w:rPr>
        <w:t>6</w:t>
      </w:r>
      <w:r>
        <w:rPr>
          <w:rFonts w:hint="eastAsia" w:ascii="黑体" w:hAnsi="黑体" w:eastAsia="黑体"/>
          <w:b/>
          <w:color w:val="auto"/>
          <w:szCs w:val="21"/>
          <w:highlight w:val="none"/>
          <w:u w:val="single"/>
        </w:rPr>
        <w:t>年</w:t>
      </w:r>
      <w:r>
        <w:rPr>
          <w:rFonts w:hint="eastAsia" w:ascii="黑体" w:hAnsi="黑体" w:eastAsia="黑体"/>
          <w:b/>
          <w:color w:val="auto"/>
          <w:szCs w:val="21"/>
          <w:highlight w:val="none"/>
          <w:u w:val="single"/>
          <w:lang w:val="en-US" w:eastAsia="zh-CN"/>
        </w:rPr>
        <w:t>9</w:t>
      </w:r>
      <w:r>
        <w:rPr>
          <w:rFonts w:hint="eastAsia" w:ascii="黑体" w:hAnsi="黑体" w:eastAsia="黑体"/>
          <w:b/>
          <w:color w:val="auto"/>
          <w:szCs w:val="21"/>
          <w:highlight w:val="none"/>
          <w:u w:val="single"/>
        </w:rPr>
        <w:t>月</w:t>
      </w:r>
      <w:r>
        <w:rPr>
          <w:rFonts w:hint="eastAsia" w:ascii="黑体" w:hAnsi="黑体" w:eastAsia="黑体"/>
          <w:b/>
          <w:color w:val="auto"/>
          <w:szCs w:val="21"/>
          <w:highlight w:val="none"/>
          <w:u w:val="single"/>
          <w:lang w:val="en-US" w:eastAsia="zh-CN"/>
        </w:rPr>
        <w:t>28</w:t>
      </w:r>
      <w:r>
        <w:rPr>
          <w:rFonts w:hint="eastAsia" w:ascii="黑体" w:hAnsi="黑体" w:eastAsia="黑体"/>
          <w:b/>
          <w:color w:val="auto"/>
          <w:szCs w:val="21"/>
          <w:highlight w:val="none"/>
          <w:u w:val="single"/>
        </w:rPr>
        <w:t>日</w:t>
      </w:r>
      <w:r>
        <w:rPr>
          <w:rFonts w:hint="eastAsia" w:ascii="黑体" w:hAnsi="黑体" w:eastAsia="黑体"/>
          <w:b/>
          <w:color w:val="auto"/>
          <w:szCs w:val="21"/>
          <w:highlight w:val="none"/>
        </w:rPr>
        <w:t xml:space="preserve">期间报名，请将相关报名资料发送邮件至 </w:t>
      </w:r>
      <w:r>
        <w:rPr>
          <w:color w:val="auto"/>
          <w:highlight w:val="none"/>
        </w:rPr>
        <w:fldChar w:fldCharType="begin"/>
      </w:r>
      <w:r>
        <w:rPr>
          <w:color w:val="auto"/>
          <w:highlight w:val="none"/>
        </w:rPr>
        <w:instrText xml:space="preserve"> HYPERLINK "mailto:czfj88@163.com" </w:instrText>
      </w:r>
      <w:r>
        <w:rPr>
          <w:color w:val="auto"/>
          <w:highlight w:val="none"/>
        </w:rPr>
        <w:fldChar w:fldCharType="separate"/>
      </w:r>
      <w:r>
        <w:rPr>
          <w:rStyle w:val="25"/>
          <w:rFonts w:hint="eastAsia" w:ascii="黑体" w:hAnsi="黑体" w:eastAsia="黑体"/>
          <w:b/>
          <w:color w:val="auto"/>
          <w:szCs w:val="21"/>
          <w:highlight w:val="none"/>
          <w:lang w:val="en-US" w:eastAsia="zh-CN"/>
        </w:rPr>
        <w:t>409722766@qq</w:t>
      </w:r>
      <w:r>
        <w:rPr>
          <w:rStyle w:val="25"/>
          <w:rFonts w:hint="eastAsia" w:ascii="黑体" w:hAnsi="黑体" w:eastAsia="黑体"/>
          <w:b/>
          <w:color w:val="auto"/>
          <w:szCs w:val="21"/>
          <w:highlight w:val="none"/>
        </w:rPr>
        <w:t>.com</w:t>
      </w:r>
      <w:r>
        <w:rPr>
          <w:rStyle w:val="25"/>
          <w:rFonts w:hint="eastAsia" w:ascii="黑体" w:hAnsi="黑体" w:eastAsia="黑体"/>
          <w:b/>
          <w:color w:val="auto"/>
          <w:szCs w:val="21"/>
          <w:highlight w:val="none"/>
        </w:rPr>
        <w:fldChar w:fldCharType="end"/>
      </w:r>
      <w:r>
        <w:rPr>
          <w:rFonts w:hint="eastAsia" w:ascii="黑体" w:hAnsi="黑体" w:eastAsia="黑体"/>
          <w:b/>
          <w:color w:val="auto"/>
          <w:szCs w:val="21"/>
          <w:highlight w:val="none"/>
        </w:rPr>
        <w:t xml:space="preserve">邮箱   </w:t>
      </w:r>
      <w:r>
        <w:rPr>
          <w:rFonts w:hint="eastAsia" w:ascii="黑体" w:hAnsi="黑体" w:eastAsia="黑体"/>
          <w:color w:val="auto"/>
          <w:szCs w:val="21"/>
          <w:highlight w:val="none"/>
        </w:rPr>
        <w:t>备注：</w:t>
      </w:r>
      <w:r>
        <w:rPr>
          <w:rFonts w:hint="eastAsia" w:ascii="黑体" w:hAnsi="黑体" w:eastAsia="黑体"/>
          <w:color w:val="auto"/>
          <w:szCs w:val="21"/>
          <w:highlight w:val="none"/>
          <w:lang w:val="en-US" w:eastAsia="zh-CN"/>
        </w:rPr>
        <w:t>投标人</w:t>
      </w:r>
      <w:r>
        <w:rPr>
          <w:rFonts w:hint="eastAsia" w:ascii="黑体" w:hAnsi="黑体" w:eastAsia="黑体"/>
          <w:color w:val="auto"/>
          <w:szCs w:val="21"/>
          <w:highlight w:val="none"/>
        </w:rPr>
        <w:t>在报名时须提供如下证明材料：</w:t>
      </w:r>
      <w:r>
        <w:rPr>
          <w:rFonts w:hint="eastAsia" w:ascii="黑体" w:hAnsi="黑体" w:eastAsia="黑体"/>
          <w:b/>
          <w:color w:val="auto"/>
          <w:szCs w:val="21"/>
          <w:highlight w:val="none"/>
        </w:rPr>
        <w:t>（1）《营业执照》或《事业单位法人证书》复印件</w:t>
      </w:r>
      <w:r>
        <w:rPr>
          <w:rFonts w:hint="eastAsia" w:ascii="黑体" w:hAnsi="黑体" w:eastAsia="黑体"/>
          <w:b/>
          <w:color w:val="auto"/>
          <w:szCs w:val="21"/>
          <w:highlight w:val="none"/>
          <w:lang w:val="en-US" w:eastAsia="zh-CN"/>
        </w:rPr>
        <w:t>一份</w:t>
      </w:r>
      <w:r>
        <w:rPr>
          <w:rFonts w:hint="eastAsia" w:ascii="黑体" w:hAnsi="黑体" w:eastAsia="黑体"/>
          <w:b/>
          <w:color w:val="auto"/>
          <w:szCs w:val="21"/>
          <w:highlight w:val="none"/>
        </w:rPr>
        <w:t>（加盖公章）；（2）报名登记表</w:t>
      </w:r>
      <w:r>
        <w:rPr>
          <w:rFonts w:hint="eastAsia" w:ascii="黑体" w:hAnsi="黑体" w:eastAsia="黑体"/>
          <w:b/>
          <w:color w:val="auto"/>
          <w:szCs w:val="21"/>
          <w:highlight w:val="none"/>
          <w:lang w:val="en-US" w:eastAsia="zh-CN"/>
        </w:rPr>
        <w:t>一份</w:t>
      </w:r>
      <w:r>
        <w:rPr>
          <w:rFonts w:hint="eastAsia" w:ascii="黑体" w:hAnsi="黑体" w:eastAsia="黑体"/>
          <w:b/>
          <w:color w:val="auto"/>
          <w:szCs w:val="21"/>
          <w:highlight w:val="none"/>
        </w:rPr>
        <w:t xml:space="preserve">（在项目信息公示/下载媒体上获取下载，按要求填写并加盖公章后连同其它材料扫描成一个PDF文件发送至邮箱 </w:t>
      </w:r>
      <w:r>
        <w:rPr>
          <w:color w:val="auto"/>
          <w:highlight w:val="none"/>
        </w:rPr>
        <w:fldChar w:fldCharType="begin"/>
      </w:r>
      <w:r>
        <w:rPr>
          <w:color w:val="auto"/>
          <w:highlight w:val="none"/>
        </w:rPr>
        <w:instrText xml:space="preserve"> HYPERLINK "mailto:czfj88@163.com" </w:instrText>
      </w:r>
      <w:r>
        <w:rPr>
          <w:color w:val="auto"/>
          <w:highlight w:val="none"/>
        </w:rPr>
        <w:fldChar w:fldCharType="separate"/>
      </w:r>
      <w:r>
        <w:rPr>
          <w:rStyle w:val="25"/>
          <w:rFonts w:hint="eastAsia" w:ascii="黑体" w:hAnsi="黑体" w:eastAsia="黑体"/>
          <w:b/>
          <w:color w:val="auto"/>
          <w:szCs w:val="21"/>
          <w:highlight w:val="none"/>
          <w:lang w:val="en-US" w:eastAsia="zh-CN"/>
        </w:rPr>
        <w:t>409722766@qq</w:t>
      </w:r>
      <w:r>
        <w:rPr>
          <w:rStyle w:val="25"/>
          <w:rFonts w:hint="eastAsia" w:ascii="黑体" w:hAnsi="黑体" w:eastAsia="黑体"/>
          <w:b/>
          <w:color w:val="auto"/>
          <w:szCs w:val="21"/>
          <w:highlight w:val="none"/>
        </w:rPr>
        <w:t>.com</w:t>
      </w:r>
      <w:r>
        <w:rPr>
          <w:rStyle w:val="25"/>
          <w:rFonts w:hint="eastAsia" w:ascii="黑体" w:hAnsi="黑体" w:eastAsia="黑体"/>
          <w:b/>
          <w:color w:val="auto"/>
          <w:szCs w:val="21"/>
          <w:highlight w:val="none"/>
        </w:rPr>
        <w:fldChar w:fldCharType="end"/>
      </w:r>
      <w:r>
        <w:rPr>
          <w:rFonts w:hint="eastAsia" w:ascii="黑体" w:hAnsi="黑体" w:eastAsia="黑体"/>
          <w:b/>
          <w:color w:val="auto"/>
          <w:szCs w:val="21"/>
          <w:highlight w:val="none"/>
        </w:rPr>
        <w:t>，邮件主题为“采购编号+投标人名称”）</w:t>
      </w:r>
      <w:r>
        <w:rPr>
          <w:rFonts w:hint="eastAsia" w:ascii="黑体" w:hAnsi="黑体" w:eastAsia="黑体"/>
          <w:color w:val="auto"/>
          <w:szCs w:val="21"/>
          <w:highlight w:val="none"/>
        </w:rPr>
        <w:t>。</w:t>
      </w:r>
    </w:p>
    <w:p w14:paraId="2003C6E5">
      <w:pPr>
        <w:pStyle w:val="32"/>
        <w:numPr>
          <w:ilvl w:val="0"/>
          <w:numId w:val="1"/>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拟参加本项目的</w:t>
      </w:r>
      <w:r>
        <w:rPr>
          <w:rFonts w:hint="eastAsia" w:ascii="黑体" w:hAnsi="黑体" w:eastAsia="黑体"/>
          <w:color w:val="auto"/>
          <w:szCs w:val="21"/>
          <w:highlight w:val="none"/>
          <w:lang w:val="en-US" w:eastAsia="zh-CN"/>
        </w:rPr>
        <w:t>投标人</w:t>
      </w:r>
      <w:r>
        <w:rPr>
          <w:rFonts w:hint="eastAsia" w:ascii="黑体" w:hAnsi="黑体" w:eastAsia="黑体"/>
          <w:color w:val="auto"/>
          <w:szCs w:val="21"/>
          <w:highlight w:val="none"/>
        </w:rPr>
        <w:t>须在规定时间内按要求报名后方可参与本项目的投标。报名后而不参加投标的</w:t>
      </w:r>
      <w:r>
        <w:rPr>
          <w:rFonts w:hint="eastAsia" w:ascii="黑体" w:hAnsi="黑体" w:eastAsia="黑体"/>
          <w:color w:val="auto"/>
          <w:szCs w:val="21"/>
          <w:highlight w:val="none"/>
          <w:lang w:val="en-US" w:eastAsia="zh-CN"/>
        </w:rPr>
        <w:t>投标人</w:t>
      </w:r>
      <w:r>
        <w:rPr>
          <w:rFonts w:hint="eastAsia" w:ascii="黑体" w:hAnsi="黑体" w:eastAsia="黑体"/>
          <w:color w:val="auto"/>
          <w:szCs w:val="21"/>
          <w:highlight w:val="none"/>
        </w:rPr>
        <w:t>，请在开标日期</w:t>
      </w:r>
      <w:r>
        <w:rPr>
          <w:rFonts w:hint="eastAsia" w:ascii="黑体" w:hAnsi="黑体" w:eastAsia="黑体"/>
          <w:color w:val="auto"/>
          <w:szCs w:val="21"/>
          <w:highlight w:val="none"/>
          <w:lang w:eastAsia="zh-CN"/>
        </w:rPr>
        <w:t>三</w:t>
      </w:r>
      <w:r>
        <w:rPr>
          <w:rFonts w:hint="eastAsia" w:ascii="黑体" w:hAnsi="黑体" w:eastAsia="黑体"/>
          <w:color w:val="auto"/>
          <w:szCs w:val="21"/>
          <w:highlight w:val="none"/>
        </w:rPr>
        <w:t>日前以书面形式通知采购人。</w:t>
      </w:r>
    </w:p>
    <w:p w14:paraId="28D54163">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投标文件递交及截止时间</w:t>
      </w:r>
      <w:r>
        <w:rPr>
          <w:rFonts w:hint="eastAsia" w:ascii="黑体" w:hAnsi="黑体" w:eastAsia="黑体"/>
          <w:b/>
          <w:color w:val="auto"/>
          <w:szCs w:val="21"/>
          <w:highlight w:val="none"/>
          <w:lang w:val="en-US" w:eastAsia="zh-CN"/>
        </w:rPr>
        <w:t xml:space="preserve"> </w:t>
      </w:r>
    </w:p>
    <w:p w14:paraId="13E40727">
      <w:pPr>
        <w:pStyle w:val="32"/>
        <w:spacing w:line="360" w:lineRule="auto"/>
        <w:ind w:left="420" w:firstLine="0" w:firstLineChars="0"/>
        <w:rPr>
          <w:rFonts w:ascii="黑体" w:hAnsi="黑体" w:eastAsia="黑体"/>
          <w:b/>
          <w:color w:val="auto"/>
          <w:szCs w:val="21"/>
          <w:highlight w:val="none"/>
        </w:rPr>
      </w:pPr>
      <w:r>
        <w:rPr>
          <w:rFonts w:hint="eastAsia" w:ascii="黑体" w:hAnsi="黑体" w:eastAsia="黑体"/>
          <w:b/>
          <w:color w:val="auto"/>
          <w:szCs w:val="21"/>
          <w:highlight w:val="none"/>
        </w:rPr>
        <w:t>投标文件递交开始时间：</w:t>
      </w:r>
      <w:r>
        <w:rPr>
          <w:rFonts w:hint="eastAsia" w:ascii="黑体" w:hAnsi="黑体" w:eastAsia="黑体"/>
          <w:b/>
          <w:color w:val="auto"/>
          <w:szCs w:val="21"/>
          <w:highlight w:val="none"/>
          <w:u w:val="single"/>
        </w:rPr>
        <w:t>202</w:t>
      </w:r>
      <w:r>
        <w:rPr>
          <w:rFonts w:hint="eastAsia" w:ascii="黑体" w:hAnsi="黑体" w:eastAsia="黑体"/>
          <w:b/>
          <w:color w:val="auto"/>
          <w:szCs w:val="21"/>
          <w:highlight w:val="none"/>
          <w:u w:val="single"/>
          <w:lang w:val="en-US" w:eastAsia="zh-CN"/>
        </w:rPr>
        <w:t>6</w:t>
      </w:r>
      <w:r>
        <w:rPr>
          <w:rFonts w:hint="eastAsia" w:ascii="黑体" w:hAnsi="黑体" w:eastAsia="黑体"/>
          <w:b/>
          <w:color w:val="auto"/>
          <w:szCs w:val="21"/>
          <w:highlight w:val="none"/>
          <w:u w:val="single"/>
        </w:rPr>
        <w:t>年</w:t>
      </w:r>
      <w:r>
        <w:rPr>
          <w:rFonts w:hint="eastAsia" w:ascii="黑体" w:hAnsi="黑体" w:eastAsia="黑体"/>
          <w:b/>
          <w:color w:val="auto"/>
          <w:szCs w:val="21"/>
          <w:highlight w:val="none"/>
          <w:u w:val="single"/>
          <w:lang w:val="en-US" w:eastAsia="zh-CN"/>
        </w:rPr>
        <w:t>9</w:t>
      </w:r>
      <w:r>
        <w:rPr>
          <w:rFonts w:hint="eastAsia" w:ascii="黑体" w:hAnsi="黑体" w:eastAsia="黑体"/>
          <w:b/>
          <w:color w:val="auto"/>
          <w:szCs w:val="21"/>
          <w:highlight w:val="none"/>
          <w:u w:val="single"/>
        </w:rPr>
        <w:t>月</w:t>
      </w:r>
      <w:r>
        <w:rPr>
          <w:rFonts w:hint="eastAsia" w:ascii="黑体" w:hAnsi="黑体" w:eastAsia="黑体"/>
          <w:b/>
          <w:color w:val="auto"/>
          <w:szCs w:val="21"/>
          <w:highlight w:val="none"/>
          <w:u w:val="single"/>
          <w:lang w:val="en-US" w:eastAsia="zh-CN"/>
        </w:rPr>
        <w:t>29</w:t>
      </w:r>
      <w:r>
        <w:rPr>
          <w:rFonts w:hint="eastAsia" w:ascii="黑体" w:hAnsi="黑体" w:eastAsia="黑体"/>
          <w:b/>
          <w:color w:val="auto"/>
          <w:szCs w:val="21"/>
          <w:highlight w:val="none"/>
          <w:u w:val="single"/>
        </w:rPr>
        <w:t>日</w:t>
      </w:r>
      <w:r>
        <w:rPr>
          <w:rFonts w:hint="eastAsia" w:ascii="黑体" w:hAnsi="黑体" w:eastAsia="黑体"/>
          <w:b/>
          <w:color w:val="auto"/>
          <w:szCs w:val="21"/>
          <w:highlight w:val="none"/>
          <w:u w:val="single"/>
          <w:lang w:val="en-US" w:eastAsia="zh-CN"/>
        </w:rPr>
        <w:t>13</w:t>
      </w:r>
      <w:r>
        <w:rPr>
          <w:rFonts w:hint="eastAsia" w:ascii="黑体" w:hAnsi="黑体" w:eastAsia="黑体"/>
          <w:b/>
          <w:color w:val="auto"/>
          <w:szCs w:val="21"/>
          <w:highlight w:val="none"/>
          <w:u w:val="single"/>
        </w:rPr>
        <w:t>时</w:t>
      </w:r>
      <w:r>
        <w:rPr>
          <w:rFonts w:hint="eastAsia" w:ascii="黑体" w:hAnsi="黑体" w:eastAsia="黑体"/>
          <w:b/>
          <w:color w:val="auto"/>
          <w:szCs w:val="21"/>
          <w:highlight w:val="none"/>
          <w:u w:val="single"/>
          <w:lang w:val="en-US" w:eastAsia="zh-CN"/>
        </w:rPr>
        <w:t>3</w:t>
      </w:r>
      <w:r>
        <w:rPr>
          <w:rFonts w:hint="eastAsia" w:ascii="黑体" w:hAnsi="黑体" w:eastAsia="黑体"/>
          <w:b/>
          <w:color w:val="auto"/>
          <w:szCs w:val="21"/>
          <w:highlight w:val="none"/>
          <w:u w:val="single"/>
        </w:rPr>
        <w:t>0分</w:t>
      </w:r>
      <w:r>
        <w:rPr>
          <w:rFonts w:hint="eastAsia" w:ascii="黑体" w:hAnsi="黑体" w:eastAsia="黑体"/>
          <w:b/>
          <w:color w:val="auto"/>
          <w:szCs w:val="21"/>
          <w:highlight w:val="none"/>
        </w:rPr>
        <w:t>（北京时间）</w:t>
      </w:r>
    </w:p>
    <w:p w14:paraId="129CB809">
      <w:pPr>
        <w:pStyle w:val="32"/>
        <w:spacing w:line="360" w:lineRule="auto"/>
        <w:ind w:left="420" w:firstLine="0" w:firstLineChars="0"/>
        <w:rPr>
          <w:rFonts w:ascii="黑体" w:hAnsi="黑体" w:eastAsia="黑体"/>
          <w:color w:val="auto"/>
          <w:szCs w:val="21"/>
          <w:highlight w:val="none"/>
          <w:u w:val="single"/>
        </w:rPr>
      </w:pPr>
      <w:r>
        <w:rPr>
          <w:rFonts w:hint="eastAsia" w:ascii="黑体" w:hAnsi="黑体" w:eastAsia="黑体"/>
          <w:b/>
          <w:color w:val="auto"/>
          <w:szCs w:val="21"/>
          <w:highlight w:val="none"/>
        </w:rPr>
        <w:t>投标文件递交截止时间：</w:t>
      </w:r>
      <w:r>
        <w:rPr>
          <w:rFonts w:hint="eastAsia" w:ascii="黑体" w:hAnsi="黑体" w:eastAsia="黑体"/>
          <w:b/>
          <w:color w:val="auto"/>
          <w:szCs w:val="21"/>
          <w:highlight w:val="none"/>
          <w:u w:val="single"/>
        </w:rPr>
        <w:t>202</w:t>
      </w:r>
      <w:r>
        <w:rPr>
          <w:rFonts w:hint="eastAsia" w:ascii="黑体" w:hAnsi="黑体" w:eastAsia="黑体"/>
          <w:b/>
          <w:color w:val="auto"/>
          <w:szCs w:val="21"/>
          <w:highlight w:val="none"/>
          <w:u w:val="single"/>
          <w:lang w:val="en-US" w:eastAsia="zh-CN"/>
        </w:rPr>
        <w:t>6</w:t>
      </w:r>
      <w:r>
        <w:rPr>
          <w:rFonts w:hint="eastAsia" w:ascii="黑体" w:hAnsi="黑体" w:eastAsia="黑体"/>
          <w:b/>
          <w:color w:val="auto"/>
          <w:szCs w:val="21"/>
          <w:highlight w:val="none"/>
          <w:u w:val="single"/>
        </w:rPr>
        <w:t>年</w:t>
      </w:r>
      <w:r>
        <w:rPr>
          <w:rFonts w:hint="eastAsia" w:ascii="黑体" w:hAnsi="黑体" w:eastAsia="黑体"/>
          <w:b/>
          <w:color w:val="auto"/>
          <w:szCs w:val="21"/>
          <w:highlight w:val="none"/>
          <w:u w:val="single"/>
          <w:lang w:val="en-US" w:eastAsia="zh-CN"/>
        </w:rPr>
        <w:t>9</w:t>
      </w:r>
      <w:r>
        <w:rPr>
          <w:rFonts w:hint="eastAsia" w:ascii="黑体" w:hAnsi="黑体" w:eastAsia="黑体"/>
          <w:b/>
          <w:color w:val="auto"/>
          <w:szCs w:val="21"/>
          <w:highlight w:val="none"/>
          <w:u w:val="single"/>
        </w:rPr>
        <w:t>月</w:t>
      </w:r>
      <w:r>
        <w:rPr>
          <w:rFonts w:hint="eastAsia" w:ascii="黑体" w:hAnsi="黑体" w:eastAsia="黑体"/>
          <w:b/>
          <w:color w:val="auto"/>
          <w:szCs w:val="21"/>
          <w:highlight w:val="none"/>
          <w:u w:val="single"/>
          <w:lang w:val="en-US" w:eastAsia="zh-CN"/>
        </w:rPr>
        <w:t>29</w:t>
      </w:r>
      <w:r>
        <w:rPr>
          <w:rFonts w:hint="eastAsia" w:ascii="黑体" w:hAnsi="黑体" w:eastAsia="黑体"/>
          <w:b/>
          <w:color w:val="auto"/>
          <w:szCs w:val="21"/>
          <w:highlight w:val="none"/>
          <w:u w:val="single"/>
        </w:rPr>
        <w:t>日</w:t>
      </w:r>
      <w:r>
        <w:rPr>
          <w:rFonts w:hint="eastAsia" w:ascii="黑体" w:hAnsi="黑体" w:eastAsia="黑体"/>
          <w:b/>
          <w:color w:val="auto"/>
          <w:szCs w:val="21"/>
          <w:highlight w:val="none"/>
          <w:u w:val="single"/>
          <w:lang w:val="en-US" w:eastAsia="zh-CN"/>
        </w:rPr>
        <w:t>14</w:t>
      </w:r>
      <w:r>
        <w:rPr>
          <w:rFonts w:hint="eastAsia" w:ascii="黑体" w:hAnsi="黑体" w:eastAsia="黑体"/>
          <w:b/>
          <w:color w:val="auto"/>
          <w:szCs w:val="21"/>
          <w:highlight w:val="none"/>
          <w:u w:val="single"/>
        </w:rPr>
        <w:t>时</w:t>
      </w:r>
      <w:r>
        <w:rPr>
          <w:rFonts w:hint="eastAsia" w:ascii="黑体" w:hAnsi="黑体" w:eastAsia="黑体"/>
          <w:b/>
          <w:color w:val="auto"/>
          <w:szCs w:val="21"/>
          <w:highlight w:val="none"/>
          <w:u w:val="single"/>
          <w:lang w:val="en-US" w:eastAsia="zh-CN"/>
        </w:rPr>
        <w:t>00</w:t>
      </w:r>
      <w:r>
        <w:rPr>
          <w:rFonts w:hint="eastAsia" w:ascii="黑体" w:hAnsi="黑体" w:eastAsia="黑体"/>
          <w:b/>
          <w:color w:val="auto"/>
          <w:szCs w:val="21"/>
          <w:highlight w:val="none"/>
          <w:u w:val="single"/>
        </w:rPr>
        <w:t>分</w:t>
      </w:r>
      <w:r>
        <w:rPr>
          <w:rFonts w:hint="eastAsia" w:ascii="黑体" w:hAnsi="黑体" w:eastAsia="黑体"/>
          <w:b/>
          <w:color w:val="auto"/>
          <w:szCs w:val="21"/>
          <w:highlight w:val="none"/>
        </w:rPr>
        <w:t>（北京时间）</w:t>
      </w:r>
    </w:p>
    <w:p w14:paraId="25373B98">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开标时间</w:t>
      </w:r>
    </w:p>
    <w:p w14:paraId="4BC600B1">
      <w:pPr>
        <w:pStyle w:val="32"/>
        <w:tabs>
          <w:tab w:val="left" w:pos="426"/>
        </w:tabs>
        <w:spacing w:line="360" w:lineRule="auto"/>
        <w:ind w:left="420" w:firstLine="0" w:firstLineChars="0"/>
        <w:rPr>
          <w:rFonts w:ascii="黑体" w:hAnsi="黑体" w:eastAsia="黑体"/>
          <w:b/>
          <w:color w:val="auto"/>
          <w:szCs w:val="21"/>
          <w:highlight w:val="none"/>
        </w:rPr>
      </w:pPr>
      <w:r>
        <w:rPr>
          <w:rFonts w:hint="eastAsia" w:ascii="黑体" w:hAnsi="黑体" w:eastAsia="黑体"/>
          <w:b/>
          <w:color w:val="auto"/>
          <w:szCs w:val="21"/>
          <w:highlight w:val="none"/>
          <w:u w:val="single"/>
        </w:rPr>
        <w:t>202</w:t>
      </w:r>
      <w:r>
        <w:rPr>
          <w:rFonts w:hint="eastAsia" w:ascii="黑体" w:hAnsi="黑体" w:eastAsia="黑体"/>
          <w:b/>
          <w:color w:val="auto"/>
          <w:szCs w:val="21"/>
          <w:highlight w:val="none"/>
          <w:u w:val="single"/>
          <w:lang w:val="en-US" w:eastAsia="zh-CN"/>
        </w:rPr>
        <w:t>6</w:t>
      </w:r>
      <w:r>
        <w:rPr>
          <w:rFonts w:hint="eastAsia" w:ascii="黑体" w:hAnsi="黑体" w:eastAsia="黑体"/>
          <w:b/>
          <w:color w:val="auto"/>
          <w:szCs w:val="21"/>
          <w:highlight w:val="none"/>
          <w:u w:val="single"/>
        </w:rPr>
        <w:t>年</w:t>
      </w:r>
      <w:r>
        <w:rPr>
          <w:rFonts w:hint="eastAsia" w:ascii="黑体" w:hAnsi="黑体" w:eastAsia="黑体"/>
          <w:b/>
          <w:color w:val="auto"/>
          <w:szCs w:val="21"/>
          <w:highlight w:val="none"/>
          <w:u w:val="single"/>
          <w:lang w:val="en-US" w:eastAsia="zh-CN"/>
        </w:rPr>
        <w:t>9</w:t>
      </w:r>
      <w:r>
        <w:rPr>
          <w:rFonts w:hint="eastAsia" w:ascii="黑体" w:hAnsi="黑体" w:eastAsia="黑体"/>
          <w:b/>
          <w:color w:val="auto"/>
          <w:szCs w:val="21"/>
          <w:highlight w:val="none"/>
          <w:u w:val="single"/>
        </w:rPr>
        <w:t>月</w:t>
      </w:r>
      <w:r>
        <w:rPr>
          <w:rFonts w:hint="eastAsia" w:ascii="黑体" w:hAnsi="黑体" w:eastAsia="黑体"/>
          <w:b/>
          <w:color w:val="auto"/>
          <w:szCs w:val="21"/>
          <w:highlight w:val="none"/>
          <w:u w:val="single"/>
          <w:lang w:val="en-US" w:eastAsia="zh-CN"/>
        </w:rPr>
        <w:t>29</w:t>
      </w:r>
      <w:r>
        <w:rPr>
          <w:rFonts w:hint="eastAsia" w:ascii="黑体" w:hAnsi="黑体" w:eastAsia="黑体"/>
          <w:b/>
          <w:color w:val="auto"/>
          <w:szCs w:val="21"/>
          <w:highlight w:val="none"/>
          <w:u w:val="single"/>
        </w:rPr>
        <w:t>日</w:t>
      </w:r>
      <w:r>
        <w:rPr>
          <w:rFonts w:hint="eastAsia" w:ascii="黑体" w:hAnsi="黑体" w:eastAsia="黑体"/>
          <w:b/>
          <w:color w:val="auto"/>
          <w:szCs w:val="21"/>
          <w:highlight w:val="none"/>
          <w:u w:val="single"/>
          <w:lang w:val="en-US" w:eastAsia="zh-CN"/>
        </w:rPr>
        <w:t>14</w:t>
      </w:r>
      <w:r>
        <w:rPr>
          <w:rFonts w:hint="eastAsia" w:ascii="黑体" w:hAnsi="黑体" w:eastAsia="黑体"/>
          <w:b/>
          <w:color w:val="auto"/>
          <w:szCs w:val="21"/>
          <w:highlight w:val="none"/>
          <w:u w:val="single"/>
        </w:rPr>
        <w:t>时</w:t>
      </w:r>
      <w:r>
        <w:rPr>
          <w:rFonts w:hint="eastAsia" w:ascii="黑体" w:hAnsi="黑体" w:eastAsia="黑体"/>
          <w:b/>
          <w:color w:val="auto"/>
          <w:szCs w:val="21"/>
          <w:highlight w:val="none"/>
          <w:u w:val="single"/>
          <w:lang w:val="en-US" w:eastAsia="zh-CN"/>
        </w:rPr>
        <w:t>0</w:t>
      </w:r>
      <w:r>
        <w:rPr>
          <w:rFonts w:hint="eastAsia" w:ascii="黑体" w:hAnsi="黑体" w:eastAsia="黑体"/>
          <w:b/>
          <w:color w:val="auto"/>
          <w:szCs w:val="21"/>
          <w:highlight w:val="none"/>
          <w:u w:val="single"/>
        </w:rPr>
        <w:t>0分</w:t>
      </w:r>
      <w:r>
        <w:rPr>
          <w:rFonts w:hint="eastAsia" w:ascii="黑体" w:hAnsi="黑体" w:eastAsia="黑体"/>
          <w:color w:val="auto"/>
          <w:szCs w:val="21"/>
          <w:highlight w:val="none"/>
        </w:rPr>
        <w:t>（北京时间）</w:t>
      </w:r>
    </w:p>
    <w:p w14:paraId="55A281CA">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开标地址（即：投标文件递交地址）</w:t>
      </w:r>
    </w:p>
    <w:p w14:paraId="20A22636">
      <w:pPr>
        <w:pStyle w:val="34"/>
        <w:spacing w:line="560" w:lineRule="exact"/>
        <w:ind w:firstLine="577"/>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s="Times New Roman"/>
          <w:color w:val="auto"/>
          <w:kern w:val="2"/>
          <w:sz w:val="21"/>
          <w:szCs w:val="21"/>
          <w:highlight w:val="none"/>
          <w:lang w:val="en-US" w:eastAsia="zh-CN" w:bidi="ar-SA"/>
        </w:rPr>
        <w:t>地址：东莞松山湖创新科技园1栋四楼416室。开标事宜：届时请投标人的法定代表人或其授权代表务必携带有效身份证明出席开标会。</w:t>
      </w:r>
    </w:p>
    <w:p w14:paraId="27723E4C">
      <w:pPr>
        <w:pStyle w:val="32"/>
        <w:numPr>
          <w:ilvl w:val="0"/>
          <w:numId w:val="1"/>
        </w:numPr>
        <w:spacing w:line="360" w:lineRule="auto"/>
        <w:ind w:firstLineChars="0"/>
        <w:rPr>
          <w:rFonts w:ascii="黑体" w:hAnsi="黑体" w:eastAsia="黑体"/>
          <w:b/>
          <w:color w:val="auto"/>
          <w:szCs w:val="21"/>
          <w:highlight w:val="none"/>
          <w:u w:val="double"/>
        </w:rPr>
      </w:pPr>
      <w:r>
        <w:rPr>
          <w:rFonts w:hint="eastAsia" w:ascii="黑体" w:hAnsi="黑体" w:eastAsia="黑体"/>
          <w:b/>
          <w:color w:val="auto"/>
          <w:szCs w:val="21"/>
          <w:highlight w:val="none"/>
          <w:u w:val="double"/>
          <w:lang w:eastAsia="zh-CN"/>
        </w:rPr>
        <w:t>本次采购不组织现场唱标，投标</w:t>
      </w:r>
      <w:r>
        <w:rPr>
          <w:rFonts w:hint="eastAsia" w:ascii="黑体" w:hAnsi="黑体" w:eastAsia="黑体"/>
          <w:b/>
          <w:color w:val="auto"/>
          <w:szCs w:val="21"/>
          <w:highlight w:val="none"/>
          <w:u w:val="double"/>
        </w:rPr>
        <w:t>人授权代表</w:t>
      </w:r>
      <w:r>
        <w:rPr>
          <w:rFonts w:hint="eastAsia" w:ascii="黑体" w:hAnsi="黑体" w:eastAsia="黑体"/>
          <w:b/>
          <w:color w:val="auto"/>
          <w:szCs w:val="21"/>
          <w:highlight w:val="none"/>
          <w:u w:val="double"/>
          <w:lang w:val="en-US" w:eastAsia="zh-CN"/>
        </w:rPr>
        <w:t>（</w:t>
      </w:r>
      <w:r>
        <w:rPr>
          <w:rFonts w:hint="eastAsia" w:ascii="黑体" w:hAnsi="黑体" w:eastAsia="黑体"/>
          <w:b/>
          <w:color w:val="auto"/>
          <w:szCs w:val="21"/>
          <w:highlight w:val="none"/>
          <w:u w:val="double"/>
        </w:rPr>
        <w:t>携带有效身份证</w:t>
      </w:r>
      <w:r>
        <w:rPr>
          <w:rFonts w:hint="eastAsia" w:ascii="黑体" w:hAnsi="黑体" w:eastAsia="黑体"/>
          <w:b/>
          <w:color w:val="auto"/>
          <w:szCs w:val="21"/>
          <w:highlight w:val="none"/>
          <w:u w:val="double"/>
          <w:lang w:val="en-US" w:eastAsia="zh-CN"/>
        </w:rPr>
        <w:t>）</w:t>
      </w:r>
      <w:r>
        <w:rPr>
          <w:rFonts w:hint="eastAsia" w:ascii="黑体" w:hAnsi="黑体" w:eastAsia="黑体"/>
          <w:b/>
          <w:color w:val="auto"/>
          <w:szCs w:val="21"/>
          <w:highlight w:val="none"/>
          <w:u w:val="double"/>
          <w:lang w:eastAsia="zh-CN"/>
        </w:rPr>
        <w:t>递交投标文件后即可离开，唱标结果将与中标结果一并公示</w:t>
      </w:r>
      <w:r>
        <w:rPr>
          <w:rFonts w:hint="eastAsia" w:ascii="黑体" w:hAnsi="黑体" w:eastAsia="黑体"/>
          <w:b/>
          <w:color w:val="auto"/>
          <w:szCs w:val="21"/>
          <w:highlight w:val="none"/>
          <w:u w:val="double"/>
        </w:rPr>
        <w:t>。</w:t>
      </w:r>
    </w:p>
    <w:p w14:paraId="772AF392">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项目信息公示/下载媒体</w:t>
      </w:r>
    </w:p>
    <w:p w14:paraId="684C0BC4">
      <w:pPr>
        <w:pStyle w:val="32"/>
        <w:tabs>
          <w:tab w:val="left" w:pos="426"/>
        </w:tabs>
        <w:spacing w:beforeLines="50" w:line="360" w:lineRule="auto"/>
        <w:ind w:left="420" w:firstLine="0" w:firstLineChars="0"/>
        <w:rPr>
          <w:rFonts w:hint="default" w:ascii="宋体" w:hAnsi="宋体" w:eastAsia="黑体" w:cs="宋体"/>
          <w:color w:val="auto"/>
          <w:sz w:val="24"/>
          <w:szCs w:val="24"/>
          <w:highlight w:val="none"/>
          <w:lang w:val="en-US" w:eastAsia="zh-CN"/>
        </w:rPr>
      </w:pPr>
      <w:r>
        <w:rPr>
          <w:rFonts w:hint="eastAsia" w:ascii="黑体" w:hAnsi="黑体" w:eastAsia="黑体"/>
          <w:color w:val="auto"/>
          <w:spacing w:val="-4"/>
          <w:szCs w:val="21"/>
          <w:highlight w:val="none"/>
        </w:rPr>
        <w:t>松山湖政府网站（东莞松山湖高新技术产业开发区管理委员会http://ssl.dg.gov.cn/）通知公告栏</w:t>
      </w:r>
      <w:bookmarkStart w:id="57" w:name="_GoBack"/>
      <w:bookmarkEnd w:id="57"/>
    </w:p>
    <w:p w14:paraId="3905B696">
      <w:pPr>
        <w:pStyle w:val="32"/>
        <w:numPr>
          <w:ilvl w:val="0"/>
          <w:numId w:val="1"/>
        </w:numPr>
        <w:spacing w:line="360" w:lineRule="auto"/>
        <w:ind w:firstLineChars="0"/>
        <w:rPr>
          <w:rFonts w:ascii="黑体" w:hAnsi="黑体" w:eastAsia="黑体"/>
          <w:b/>
          <w:color w:val="auto"/>
          <w:szCs w:val="21"/>
          <w:highlight w:val="none"/>
        </w:rPr>
      </w:pPr>
      <w:r>
        <w:rPr>
          <w:rFonts w:hint="eastAsia" w:ascii="黑体" w:hAnsi="黑体" w:eastAsia="黑体" w:cs="Times New Roman"/>
          <w:b/>
          <w:color w:val="auto"/>
          <w:kern w:val="2"/>
          <w:sz w:val="21"/>
          <w:szCs w:val="21"/>
          <w:highlight w:val="none"/>
          <w:lang w:val="en-US" w:eastAsia="zh-CN" w:bidi="ar-SA"/>
        </w:rPr>
        <w:t>联系事项</w:t>
      </w:r>
    </w:p>
    <w:p w14:paraId="3DE35733">
      <w:pPr>
        <w:pStyle w:val="32"/>
        <w:numPr>
          <w:ilvl w:val="0"/>
          <w:numId w:val="4"/>
        </w:numPr>
        <w:spacing w:line="360" w:lineRule="auto"/>
        <w:rPr>
          <w:rFonts w:hint="eastAsia" w:ascii="黑体" w:hAnsi="黑体" w:eastAsia="黑体"/>
          <w:b w:val="0"/>
          <w:bCs/>
          <w:color w:val="auto"/>
          <w:szCs w:val="21"/>
          <w:highlight w:val="none"/>
          <w:u w:val="none"/>
          <w:lang w:val="en-US" w:eastAsia="zh-CN"/>
        </w:rPr>
      </w:pPr>
      <w:r>
        <w:rPr>
          <w:rFonts w:hint="eastAsia" w:ascii="黑体" w:hAnsi="黑体" w:eastAsia="黑体"/>
          <w:b w:val="0"/>
          <w:bCs/>
          <w:color w:val="auto"/>
          <w:szCs w:val="21"/>
          <w:highlight w:val="none"/>
          <w:u w:val="none"/>
          <w:lang w:val="en-US" w:eastAsia="zh-CN"/>
        </w:rPr>
        <w:t>采购人：东莞松山湖高新技术产业开发区管理委员会</w:t>
      </w:r>
    </w:p>
    <w:p w14:paraId="08067F4F">
      <w:pPr>
        <w:pStyle w:val="32"/>
        <w:numPr>
          <w:ilvl w:val="0"/>
          <w:numId w:val="0"/>
        </w:numPr>
        <w:spacing w:line="360" w:lineRule="auto"/>
        <w:ind w:leftChars="0" w:firstLine="420" w:firstLineChars="200"/>
        <w:rPr>
          <w:rFonts w:hint="eastAsia" w:ascii="黑体" w:hAnsi="黑体" w:eastAsia="黑体"/>
          <w:b w:val="0"/>
          <w:bCs/>
          <w:color w:val="auto"/>
          <w:szCs w:val="21"/>
          <w:highlight w:val="none"/>
          <w:u w:val="none"/>
          <w:lang w:val="en-US" w:eastAsia="zh-CN"/>
        </w:rPr>
      </w:pPr>
      <w:r>
        <w:rPr>
          <w:rFonts w:hint="eastAsia" w:ascii="黑体" w:hAnsi="黑体" w:eastAsia="黑体"/>
          <w:b w:val="0"/>
          <w:bCs/>
          <w:color w:val="auto"/>
          <w:szCs w:val="21"/>
          <w:highlight w:val="none"/>
          <w:u w:val="none"/>
          <w:lang w:val="en-US" w:eastAsia="zh-CN"/>
        </w:rPr>
        <w:t>地址：东莞松山湖创新科技园12栋7楼</w:t>
      </w:r>
    </w:p>
    <w:p w14:paraId="39977374">
      <w:pPr>
        <w:pStyle w:val="32"/>
        <w:numPr>
          <w:ilvl w:val="0"/>
          <w:numId w:val="0"/>
        </w:numPr>
        <w:spacing w:line="360" w:lineRule="auto"/>
        <w:ind w:leftChars="0" w:firstLine="420" w:firstLineChars="200"/>
        <w:rPr>
          <w:rFonts w:hint="eastAsia" w:ascii="黑体" w:hAnsi="黑体" w:eastAsia="黑体"/>
          <w:b w:val="0"/>
          <w:bCs/>
          <w:color w:val="auto"/>
          <w:szCs w:val="21"/>
          <w:highlight w:val="none"/>
          <w:u w:val="none"/>
          <w:lang w:val="en-US" w:eastAsia="zh-CN"/>
        </w:rPr>
      </w:pPr>
      <w:r>
        <w:rPr>
          <w:rFonts w:hint="eastAsia" w:ascii="黑体" w:hAnsi="黑体" w:eastAsia="黑体"/>
          <w:b w:val="0"/>
          <w:bCs/>
          <w:color w:val="auto"/>
          <w:szCs w:val="21"/>
          <w:highlight w:val="none"/>
          <w:u w:val="none"/>
          <w:lang w:val="en-US" w:eastAsia="zh-CN"/>
        </w:rPr>
        <w:t>联系人：刘小姐，联系电话：0769-22898351，邮编：523808。</w:t>
      </w:r>
    </w:p>
    <w:p w14:paraId="37E20AF0">
      <w:pPr>
        <w:pStyle w:val="32"/>
        <w:numPr>
          <w:ilvl w:val="0"/>
          <w:numId w:val="4"/>
        </w:numPr>
        <w:spacing w:line="360" w:lineRule="auto"/>
        <w:ind w:left="0" w:leftChars="0" w:firstLine="420" w:firstLineChars="200"/>
        <w:rPr>
          <w:rFonts w:hint="eastAsia" w:ascii="黑体" w:hAnsi="黑体" w:eastAsia="黑体"/>
          <w:b w:val="0"/>
          <w:bCs/>
          <w:color w:val="auto"/>
          <w:szCs w:val="21"/>
          <w:highlight w:val="none"/>
          <w:u w:val="none"/>
          <w:lang w:val="en-US" w:eastAsia="zh-CN"/>
        </w:rPr>
      </w:pPr>
      <w:r>
        <w:rPr>
          <w:rFonts w:hint="eastAsia" w:ascii="黑体" w:hAnsi="黑体" w:eastAsia="黑体"/>
          <w:b w:val="0"/>
          <w:bCs/>
          <w:color w:val="auto"/>
          <w:szCs w:val="21"/>
          <w:highlight w:val="none"/>
          <w:u w:val="none"/>
          <w:lang w:val="en-US" w:eastAsia="zh-CN"/>
        </w:rPr>
        <w:t>采购代理机构：东莞松山湖高新技术产业开发区招投标服务所</w:t>
      </w:r>
    </w:p>
    <w:p w14:paraId="73E5B234">
      <w:pPr>
        <w:pStyle w:val="32"/>
        <w:numPr>
          <w:ilvl w:val="0"/>
          <w:numId w:val="0"/>
        </w:numPr>
        <w:spacing w:line="360" w:lineRule="auto"/>
        <w:ind w:leftChars="200"/>
        <w:rPr>
          <w:rFonts w:hint="eastAsia" w:ascii="黑体" w:hAnsi="黑体" w:eastAsia="黑体"/>
          <w:b w:val="0"/>
          <w:bCs/>
          <w:color w:val="auto"/>
          <w:szCs w:val="21"/>
          <w:highlight w:val="none"/>
          <w:u w:val="none"/>
          <w:lang w:val="en-US" w:eastAsia="zh-CN"/>
        </w:rPr>
      </w:pPr>
      <w:r>
        <w:rPr>
          <w:rFonts w:hint="eastAsia" w:ascii="黑体" w:hAnsi="黑体" w:eastAsia="黑体"/>
          <w:b w:val="0"/>
          <w:bCs/>
          <w:color w:val="auto"/>
          <w:szCs w:val="21"/>
          <w:highlight w:val="none"/>
          <w:u w:val="none"/>
          <w:lang w:val="en-US" w:eastAsia="zh-CN"/>
        </w:rPr>
        <w:t>地址：东莞松山湖创新科技园1栋四楼413室</w:t>
      </w:r>
    </w:p>
    <w:p w14:paraId="57129AFF">
      <w:pPr>
        <w:pStyle w:val="32"/>
        <w:numPr>
          <w:ilvl w:val="0"/>
          <w:numId w:val="0"/>
        </w:numPr>
        <w:spacing w:line="360" w:lineRule="auto"/>
        <w:ind w:leftChars="200"/>
        <w:rPr>
          <w:rFonts w:hint="eastAsia" w:ascii="黑体" w:hAnsi="黑体" w:eastAsia="黑体"/>
          <w:b w:val="0"/>
          <w:bCs/>
          <w:color w:val="auto"/>
          <w:szCs w:val="21"/>
          <w:highlight w:val="none"/>
          <w:u w:val="double"/>
          <w:lang w:val="en-US" w:eastAsia="zh-CN"/>
        </w:rPr>
      </w:pPr>
      <w:r>
        <w:rPr>
          <w:rFonts w:hint="eastAsia" w:ascii="黑体" w:hAnsi="黑体" w:eastAsia="黑体"/>
          <w:b w:val="0"/>
          <w:bCs/>
          <w:color w:val="auto"/>
          <w:szCs w:val="21"/>
          <w:highlight w:val="none"/>
          <w:u w:val="none"/>
          <w:lang w:val="en-US" w:eastAsia="zh-CN"/>
        </w:rPr>
        <w:t>联系人：钟小姐，联系电话：0769-22891633，邮编：523808。</w:t>
      </w:r>
    </w:p>
    <w:p w14:paraId="6972E4DA">
      <w:pPr>
        <w:pStyle w:val="32"/>
        <w:numPr>
          <w:ilvl w:val="0"/>
          <w:numId w:val="0"/>
        </w:numPr>
        <w:spacing w:line="360" w:lineRule="auto"/>
        <w:ind w:leftChars="0"/>
        <w:rPr>
          <w:rFonts w:ascii="黑体" w:hAnsi="黑体" w:eastAsia="黑体"/>
          <w:b/>
          <w:color w:val="auto"/>
          <w:szCs w:val="21"/>
          <w:highlight w:val="none"/>
        </w:rPr>
      </w:pPr>
    </w:p>
    <w:p w14:paraId="4A560D5F">
      <w:pPr>
        <w:pStyle w:val="32"/>
        <w:tabs>
          <w:tab w:val="left" w:pos="426"/>
        </w:tabs>
        <w:spacing w:beforeLines="50" w:line="360" w:lineRule="auto"/>
        <w:ind w:left="0" w:leftChars="0" w:firstLine="0" w:firstLineChars="0"/>
        <w:rPr>
          <w:rFonts w:ascii="黑体" w:hAnsi="黑体" w:eastAsia="黑体"/>
          <w:color w:val="auto"/>
          <w:szCs w:val="21"/>
          <w:highlight w:val="none"/>
        </w:rPr>
      </w:pPr>
    </w:p>
    <w:p w14:paraId="6E90E35F">
      <w:pPr>
        <w:pStyle w:val="32"/>
        <w:tabs>
          <w:tab w:val="left" w:pos="426"/>
        </w:tabs>
        <w:spacing w:beforeLines="100" w:line="360" w:lineRule="auto"/>
        <w:ind w:left="420" w:firstLine="0" w:firstLineChars="0"/>
        <w:jc w:val="right"/>
        <w:rPr>
          <w:rFonts w:hint="eastAsia" w:ascii="黑体" w:hAnsi="黑体" w:eastAsia="黑体"/>
          <w:b w:val="0"/>
          <w:bCs/>
          <w:color w:val="auto"/>
          <w:spacing w:val="20"/>
          <w:szCs w:val="21"/>
          <w:highlight w:val="none"/>
        </w:rPr>
      </w:pPr>
      <w:r>
        <w:rPr>
          <w:rFonts w:hint="eastAsia" w:ascii="黑体" w:hAnsi="黑体" w:eastAsia="黑体"/>
          <w:b w:val="0"/>
          <w:bCs/>
          <w:color w:val="auto"/>
          <w:spacing w:val="20"/>
          <w:szCs w:val="21"/>
          <w:highlight w:val="none"/>
          <w:lang w:eastAsia="zh-CN"/>
        </w:rPr>
        <w:t>东莞松山湖高新技术产业开发区招投标服务所</w:t>
      </w:r>
    </w:p>
    <w:p w14:paraId="327FB914">
      <w:pPr>
        <w:pStyle w:val="32"/>
        <w:tabs>
          <w:tab w:val="left" w:pos="426"/>
        </w:tabs>
        <w:spacing w:beforeLines="100" w:line="360" w:lineRule="auto"/>
        <w:ind w:left="420" w:firstLine="0" w:firstLineChars="0"/>
        <w:jc w:val="right"/>
        <w:rPr>
          <w:rFonts w:hint="eastAsia" w:ascii="黑体" w:hAnsi="黑体" w:eastAsia="黑体"/>
          <w:b w:val="0"/>
          <w:bCs/>
          <w:color w:val="auto"/>
          <w:spacing w:val="20"/>
          <w:szCs w:val="21"/>
          <w:highlight w:val="none"/>
          <w:lang w:eastAsia="zh-CN"/>
        </w:rPr>
      </w:pPr>
      <w:r>
        <w:rPr>
          <w:rFonts w:hint="eastAsia" w:ascii="黑体" w:hAnsi="黑体" w:eastAsia="黑体"/>
          <w:b w:val="0"/>
          <w:bCs/>
          <w:color w:val="auto"/>
          <w:spacing w:val="20"/>
          <w:szCs w:val="21"/>
          <w:highlight w:val="none"/>
          <w:lang w:val="en-US" w:eastAsia="zh-CN"/>
        </w:rPr>
        <w:t xml:space="preserve">  </w:t>
      </w:r>
      <w:r>
        <w:rPr>
          <w:rFonts w:hint="eastAsia" w:ascii="黑体" w:hAnsi="黑体" w:eastAsia="黑体"/>
          <w:b w:val="0"/>
          <w:bCs/>
          <w:color w:val="auto"/>
          <w:spacing w:val="20"/>
          <w:szCs w:val="21"/>
          <w:highlight w:val="none"/>
          <w:lang w:eastAsia="zh-CN"/>
        </w:rPr>
        <w:t>20</w:t>
      </w:r>
      <w:r>
        <w:rPr>
          <w:rFonts w:hint="eastAsia" w:ascii="黑体" w:hAnsi="黑体" w:eastAsia="黑体"/>
          <w:b w:val="0"/>
          <w:bCs/>
          <w:color w:val="auto"/>
          <w:spacing w:val="20"/>
          <w:szCs w:val="21"/>
          <w:highlight w:val="none"/>
          <w:lang w:val="en-US" w:eastAsia="zh-CN"/>
        </w:rPr>
        <w:t>2</w:t>
      </w:r>
      <w:r>
        <w:rPr>
          <w:rFonts w:hint="eastAsia" w:ascii="黑体" w:hAnsi="黑体" w:eastAsia="黑体"/>
          <w:b w:val="0"/>
          <w:bCs/>
          <w:color w:val="auto"/>
          <w:spacing w:val="20"/>
          <w:szCs w:val="21"/>
          <w:highlight w:val="none"/>
          <w:lang w:eastAsia="zh-CN"/>
        </w:rPr>
        <w:t>6年</w:t>
      </w:r>
      <w:r>
        <w:rPr>
          <w:rFonts w:hint="eastAsia" w:ascii="黑体" w:hAnsi="黑体" w:eastAsia="黑体"/>
          <w:b w:val="0"/>
          <w:bCs/>
          <w:color w:val="auto"/>
          <w:spacing w:val="20"/>
          <w:szCs w:val="21"/>
          <w:highlight w:val="none"/>
          <w:lang w:val="en-US" w:eastAsia="zh-CN"/>
        </w:rPr>
        <w:t>9</w:t>
      </w:r>
      <w:r>
        <w:rPr>
          <w:rFonts w:hint="eastAsia" w:ascii="黑体" w:hAnsi="黑体" w:eastAsia="黑体"/>
          <w:b w:val="0"/>
          <w:bCs/>
          <w:color w:val="auto"/>
          <w:spacing w:val="20"/>
          <w:szCs w:val="21"/>
          <w:highlight w:val="none"/>
          <w:lang w:eastAsia="zh-CN"/>
        </w:rPr>
        <w:t>月</w:t>
      </w:r>
      <w:r>
        <w:rPr>
          <w:rFonts w:hint="eastAsia" w:ascii="黑体" w:hAnsi="黑体" w:eastAsia="黑体"/>
          <w:b w:val="0"/>
          <w:bCs/>
          <w:color w:val="auto"/>
          <w:spacing w:val="20"/>
          <w:szCs w:val="21"/>
          <w:highlight w:val="none"/>
          <w:lang w:val="en-US" w:eastAsia="zh-CN"/>
        </w:rPr>
        <w:t>8</w:t>
      </w:r>
      <w:r>
        <w:rPr>
          <w:rFonts w:hint="eastAsia" w:ascii="黑体" w:hAnsi="黑体" w:eastAsia="黑体"/>
          <w:b w:val="0"/>
          <w:bCs/>
          <w:color w:val="auto"/>
          <w:spacing w:val="20"/>
          <w:szCs w:val="21"/>
          <w:highlight w:val="none"/>
          <w:lang w:eastAsia="zh-CN"/>
        </w:rPr>
        <w:t>日</w:t>
      </w:r>
    </w:p>
    <w:p w14:paraId="212B8E50">
      <w:pPr>
        <w:pStyle w:val="2"/>
        <w:pageBreakBefore/>
        <w:spacing w:line="360" w:lineRule="auto"/>
        <w:jc w:val="center"/>
        <w:rPr>
          <w:rFonts w:ascii="黑体" w:hAnsi="黑体" w:eastAsia="黑体"/>
          <w:color w:val="auto"/>
          <w:spacing w:val="20"/>
          <w:sz w:val="32"/>
          <w:szCs w:val="32"/>
          <w:highlight w:val="none"/>
        </w:rPr>
      </w:pPr>
      <w:bookmarkStart w:id="7" w:name="_Toc405313952"/>
      <w:bookmarkStart w:id="8" w:name="_Toc23715266"/>
      <w:r>
        <w:rPr>
          <w:rFonts w:hint="eastAsia" w:ascii="黑体" w:hAnsi="黑体" w:eastAsia="黑体"/>
          <w:color w:val="auto"/>
          <w:spacing w:val="20"/>
          <w:sz w:val="32"/>
          <w:szCs w:val="32"/>
          <w:highlight w:val="none"/>
        </w:rPr>
        <w:t>第二部分 用户需求书</w:t>
      </w:r>
      <w:bookmarkEnd w:id="7"/>
      <w:bookmarkEnd w:id="8"/>
    </w:p>
    <w:p w14:paraId="1A63197D">
      <w:pPr>
        <w:numPr>
          <w:ilvl w:val="0"/>
          <w:numId w:val="5"/>
        </w:numPr>
        <w:spacing w:line="360" w:lineRule="auto"/>
        <w:rPr>
          <w:rFonts w:ascii="黑体" w:hAnsi="黑体" w:eastAsia="黑体"/>
          <w:b/>
          <w:color w:val="auto"/>
          <w:szCs w:val="21"/>
          <w:highlight w:val="none"/>
        </w:rPr>
      </w:pPr>
      <w:r>
        <w:rPr>
          <w:rFonts w:hint="eastAsia" w:ascii="黑体" w:hAnsi="黑体" w:eastAsia="黑体"/>
          <w:b/>
          <w:color w:val="auto"/>
          <w:szCs w:val="21"/>
          <w:highlight w:val="none"/>
        </w:rPr>
        <w:t>服务内容</w:t>
      </w:r>
    </w:p>
    <w:p w14:paraId="207018A8">
      <w:pPr>
        <w:numPr>
          <w:ilvl w:val="0"/>
          <w:numId w:val="6"/>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服务对象：</w:t>
      </w:r>
      <w:r>
        <w:rPr>
          <w:rFonts w:hint="eastAsia" w:ascii="黑体" w:hAnsi="黑体" w:eastAsia="黑体"/>
          <w:color w:val="auto"/>
          <w:szCs w:val="21"/>
          <w:highlight w:val="none"/>
          <w:lang w:eastAsia="zh-CN"/>
        </w:rPr>
        <w:t>东莞松山湖高新技术产业开发区管理委员会</w:t>
      </w:r>
      <w:r>
        <w:rPr>
          <w:rFonts w:hint="eastAsia" w:ascii="黑体" w:hAnsi="黑体" w:eastAsia="黑体"/>
          <w:color w:val="auto"/>
          <w:szCs w:val="21"/>
          <w:highlight w:val="none"/>
        </w:rPr>
        <w:t>（以下称为“</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w:t>
      </w:r>
    </w:p>
    <w:p w14:paraId="699F93D7">
      <w:pPr>
        <w:numPr>
          <w:ilvl w:val="0"/>
          <w:numId w:val="6"/>
        </w:numPr>
        <w:spacing w:line="360" w:lineRule="auto"/>
        <w:rPr>
          <w:rFonts w:ascii="黑体" w:hAnsi="黑体" w:eastAsia="黑体"/>
          <w:b w:val="0"/>
          <w:bCs w:val="0"/>
          <w:color w:val="auto"/>
          <w:szCs w:val="21"/>
          <w:highlight w:val="none"/>
        </w:rPr>
      </w:pPr>
      <w:r>
        <w:rPr>
          <w:rFonts w:hint="eastAsia" w:ascii="黑体" w:hAnsi="黑体" w:eastAsia="黑体"/>
          <w:color w:val="auto"/>
          <w:szCs w:val="21"/>
          <w:highlight w:val="none"/>
        </w:rPr>
        <w:t>服务内容：公开招标</w:t>
      </w:r>
      <w:r>
        <w:rPr>
          <w:rFonts w:hint="eastAsia" w:ascii="黑体" w:hAnsi="黑体" w:eastAsia="黑体"/>
          <w:color w:val="auto"/>
          <w:szCs w:val="21"/>
          <w:highlight w:val="none"/>
          <w:lang w:val="en-US" w:eastAsia="zh-CN"/>
        </w:rPr>
        <w:t>13家</w:t>
      </w:r>
      <w:r>
        <w:rPr>
          <w:rFonts w:hint="eastAsia" w:ascii="黑体" w:hAnsi="黑体" w:eastAsia="黑体"/>
          <w:color w:val="auto"/>
          <w:szCs w:val="21"/>
          <w:highlight w:val="none"/>
        </w:rPr>
        <w:t>银行作为采购人财政专户资金转出</w:t>
      </w:r>
      <w:r>
        <w:rPr>
          <w:rFonts w:hint="eastAsia" w:ascii="黑体" w:hAnsi="黑体" w:eastAsia="黑体"/>
          <w:b w:val="0"/>
          <w:bCs w:val="0"/>
          <w:color w:val="auto"/>
          <w:szCs w:val="21"/>
          <w:highlight w:val="none"/>
        </w:rPr>
        <w:t>办理</w:t>
      </w:r>
      <w:r>
        <w:rPr>
          <w:rFonts w:hint="eastAsia" w:ascii="黑体" w:hAnsi="黑体" w:eastAsia="黑体"/>
          <w:b w:val="0"/>
          <w:bCs w:val="0"/>
          <w:color w:val="auto"/>
          <w:szCs w:val="21"/>
          <w:highlight w:val="none"/>
          <w:lang w:eastAsia="zh-CN"/>
        </w:rPr>
        <w:t>定期存款</w:t>
      </w:r>
      <w:r>
        <w:rPr>
          <w:rFonts w:hint="eastAsia" w:ascii="黑体" w:hAnsi="黑体" w:eastAsia="黑体"/>
          <w:b w:val="0"/>
          <w:bCs w:val="0"/>
          <w:color w:val="auto"/>
          <w:szCs w:val="21"/>
          <w:highlight w:val="none"/>
        </w:rPr>
        <w:t>(含大额存单)（以下简称“定期存款”）</w:t>
      </w:r>
      <w:r>
        <w:rPr>
          <w:rFonts w:hint="eastAsia" w:ascii="黑体" w:hAnsi="黑体" w:eastAsia="黑体"/>
          <w:b w:val="0"/>
          <w:bCs w:val="0"/>
          <w:color w:val="auto"/>
          <w:szCs w:val="21"/>
          <w:highlight w:val="none"/>
          <w:lang w:eastAsia="zh-CN"/>
        </w:rPr>
        <w:t>。</w:t>
      </w:r>
    </w:p>
    <w:p w14:paraId="75BB8B80">
      <w:pPr>
        <w:numPr>
          <w:ilvl w:val="0"/>
          <w:numId w:val="6"/>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业务银行（以下称为“</w:t>
      </w: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”），承接办理财政资金</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保值增值业务。</w:t>
      </w:r>
    </w:p>
    <w:p w14:paraId="536959C3">
      <w:pPr>
        <w:numPr>
          <w:ilvl w:val="0"/>
          <w:numId w:val="6"/>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服务期限</w:t>
      </w:r>
      <w:r>
        <w:rPr>
          <w:rFonts w:hint="eastAsia" w:ascii="黑体" w:hAnsi="黑体" w:eastAsia="黑体"/>
          <w:color w:val="auto"/>
          <w:szCs w:val="21"/>
          <w:highlight w:val="none"/>
          <w:lang w:eastAsia="zh-CN"/>
        </w:rPr>
        <w:t>：</w:t>
      </w:r>
    </w:p>
    <w:p w14:paraId="7F9E0BE6">
      <w:pPr>
        <w:pStyle w:val="6"/>
        <w:rPr>
          <w:rFonts w:hint="eastAsia" w:eastAsia="黑体"/>
          <w:color w:val="auto"/>
          <w:highlight w:val="none"/>
          <w:lang w:val="en-US" w:eastAsia="zh-CN"/>
        </w:rPr>
      </w:pPr>
      <w:r>
        <w:rPr>
          <w:rFonts w:hint="eastAsia" w:ascii="黑体" w:hAnsi="黑体" w:eastAsia="黑体"/>
          <w:color w:val="auto"/>
          <w:szCs w:val="21"/>
          <w:highlight w:val="none"/>
          <w:lang w:eastAsia="zh-CN"/>
        </w:rPr>
        <w:t>自合同生效之日起一年</w:t>
      </w:r>
    </w:p>
    <w:p w14:paraId="41F1BEA3">
      <w:pPr>
        <w:numPr>
          <w:ilvl w:val="0"/>
          <w:numId w:val="6"/>
        </w:numPr>
        <w:spacing w:line="360" w:lineRule="auto"/>
        <w:rPr>
          <w:rFonts w:hint="eastAsia" w:ascii="黑体" w:hAnsi="黑体" w:eastAsia="黑体"/>
          <w:color w:val="auto"/>
          <w:szCs w:val="21"/>
          <w:highlight w:val="none"/>
        </w:rPr>
      </w:pPr>
      <w:r>
        <w:rPr>
          <w:rFonts w:hint="default" w:ascii="黑体" w:hAnsi="黑体" w:eastAsia="黑体"/>
          <w:color w:val="auto"/>
          <w:szCs w:val="21"/>
          <w:highlight w:val="none"/>
        </w:rPr>
        <w:t>分配比例</w:t>
      </w:r>
      <w:r>
        <w:rPr>
          <w:rFonts w:hint="eastAsia" w:ascii="黑体" w:hAnsi="黑体" w:eastAsia="黑体"/>
          <w:color w:val="auto"/>
          <w:szCs w:val="21"/>
          <w:highlight w:val="none"/>
        </w:rPr>
        <w:t>：</w:t>
      </w:r>
    </w:p>
    <w:tbl>
      <w:tblPr>
        <w:tblStyle w:val="20"/>
        <w:tblW w:w="79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29"/>
        <w:gridCol w:w="1305"/>
        <w:gridCol w:w="1170"/>
        <w:gridCol w:w="1860"/>
        <w:gridCol w:w="2277"/>
      </w:tblGrid>
      <w:tr w14:paraId="6E040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1329" w:type="dxa"/>
            <w:tcBorders>
              <w:top w:val="single" w:color="000000" w:sz="4" w:space="0"/>
              <w:left w:val="single" w:color="000000" w:sz="4" w:space="0"/>
              <w:bottom w:val="single" w:color="000000" w:sz="4" w:space="0"/>
              <w:right w:val="single" w:color="000000" w:sz="4" w:space="0"/>
            </w:tcBorders>
            <w:vAlign w:val="center"/>
          </w:tcPr>
          <w:p w14:paraId="2C595E0E">
            <w:pPr>
              <w:widowControl/>
              <w:jc w:val="center"/>
              <w:textAlignment w:val="center"/>
              <w:rPr>
                <w:rFonts w:hint="eastAsia" w:ascii="宋体" w:hAnsi="宋体" w:eastAsia="宋体" w:cs="宋体"/>
                <w:color w:val="auto"/>
                <w:sz w:val="22"/>
                <w:highlight w:val="none"/>
                <w:lang w:eastAsia="zh-CN"/>
              </w:rPr>
            </w:pPr>
            <w:r>
              <w:rPr>
                <w:rFonts w:hint="eastAsia" w:ascii="宋体" w:hAnsi="宋体" w:cs="宋体"/>
                <w:color w:val="auto"/>
                <w:kern w:val="0"/>
                <w:sz w:val="22"/>
                <w:highlight w:val="none"/>
                <w:lang w:eastAsia="zh-CN"/>
              </w:rPr>
              <w:t>档次</w:t>
            </w:r>
          </w:p>
        </w:tc>
        <w:tc>
          <w:tcPr>
            <w:tcW w:w="1305" w:type="dxa"/>
            <w:tcBorders>
              <w:top w:val="single" w:color="000000" w:sz="4" w:space="0"/>
              <w:left w:val="single" w:color="000000" w:sz="4" w:space="0"/>
              <w:bottom w:val="single" w:color="000000" w:sz="4" w:space="0"/>
              <w:right w:val="single" w:color="000000" w:sz="4" w:space="0"/>
            </w:tcBorders>
            <w:vAlign w:val="center"/>
          </w:tcPr>
          <w:p w14:paraId="543FA41F">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排名</w:t>
            </w:r>
          </w:p>
        </w:tc>
        <w:tc>
          <w:tcPr>
            <w:tcW w:w="1170" w:type="dxa"/>
            <w:tcBorders>
              <w:top w:val="single" w:color="000000" w:sz="4" w:space="0"/>
              <w:left w:val="single" w:color="000000" w:sz="4" w:space="0"/>
              <w:bottom w:val="single" w:color="000000" w:sz="4" w:space="0"/>
              <w:right w:val="single" w:color="000000" w:sz="4" w:space="0"/>
            </w:tcBorders>
            <w:vAlign w:val="center"/>
          </w:tcPr>
          <w:p w14:paraId="6FDF17DE">
            <w:pPr>
              <w:widowControl/>
              <w:jc w:val="center"/>
              <w:textAlignment w:val="center"/>
              <w:rPr>
                <w:rFonts w:hint="eastAsia" w:ascii="宋体" w:hAnsi="宋体" w:eastAsia="宋体" w:cs="宋体"/>
                <w:color w:val="auto"/>
                <w:sz w:val="22"/>
                <w:highlight w:val="none"/>
                <w:lang w:eastAsia="zh-CN"/>
              </w:rPr>
            </w:pPr>
            <w:r>
              <w:rPr>
                <w:rFonts w:hint="eastAsia" w:ascii="宋体" w:hAnsi="宋体" w:cs="宋体"/>
                <w:color w:val="auto"/>
                <w:kern w:val="0"/>
                <w:sz w:val="22"/>
                <w:highlight w:val="none"/>
                <w:lang w:eastAsia="zh-CN"/>
              </w:rPr>
              <w:t>数量</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D8AAB">
            <w:pPr>
              <w:widowControl/>
              <w:jc w:val="center"/>
              <w:textAlignment w:val="center"/>
              <w:rPr>
                <w:rFonts w:hint="eastAsia" w:ascii="宋体" w:hAnsi="宋体" w:cs="宋体"/>
                <w:color w:val="auto"/>
                <w:kern w:val="0"/>
                <w:sz w:val="22"/>
                <w:highlight w:val="none"/>
                <w:lang w:val="en-US" w:eastAsia="zh-CN"/>
              </w:rPr>
            </w:pPr>
            <w:r>
              <w:rPr>
                <w:rFonts w:hint="eastAsia" w:ascii="宋体" w:hAnsi="宋体" w:cs="宋体"/>
                <w:color w:val="auto"/>
                <w:kern w:val="0"/>
                <w:sz w:val="22"/>
                <w:highlight w:val="none"/>
                <w:lang w:eastAsia="zh-CN"/>
              </w:rPr>
              <w:t>每间存放比例</w:t>
            </w:r>
          </w:p>
        </w:tc>
        <w:tc>
          <w:tcPr>
            <w:tcW w:w="2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2F53">
            <w:pPr>
              <w:widowControl/>
              <w:jc w:val="center"/>
              <w:textAlignment w:val="center"/>
              <w:rPr>
                <w:rFonts w:hint="eastAsia" w:ascii="宋体" w:hAnsi="宋体" w:cs="宋体"/>
                <w:color w:val="auto"/>
                <w:kern w:val="0"/>
                <w:sz w:val="22"/>
                <w:highlight w:val="none"/>
                <w:lang w:val="en-US" w:eastAsia="zh-CN"/>
              </w:rPr>
            </w:pPr>
            <w:r>
              <w:rPr>
                <w:rFonts w:hint="eastAsia" w:ascii="宋体" w:hAnsi="宋体" w:cs="宋体"/>
                <w:color w:val="auto"/>
                <w:kern w:val="0"/>
                <w:sz w:val="22"/>
                <w:highlight w:val="none"/>
                <w:lang w:eastAsia="zh-CN"/>
              </w:rPr>
              <w:t>占比合计</w:t>
            </w:r>
          </w:p>
        </w:tc>
      </w:tr>
      <w:tr w14:paraId="587F5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1329" w:type="dxa"/>
            <w:tcBorders>
              <w:top w:val="single" w:color="000000" w:sz="4" w:space="0"/>
              <w:left w:val="single" w:color="000000" w:sz="4" w:space="0"/>
              <w:bottom w:val="single" w:color="000000" w:sz="4" w:space="0"/>
              <w:right w:val="single" w:color="000000" w:sz="4" w:space="0"/>
            </w:tcBorders>
            <w:vAlign w:val="center"/>
          </w:tcPr>
          <w:p w14:paraId="154F2F1C">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第一档</w:t>
            </w:r>
          </w:p>
        </w:tc>
        <w:tc>
          <w:tcPr>
            <w:tcW w:w="1305" w:type="dxa"/>
            <w:tcBorders>
              <w:top w:val="single" w:color="000000" w:sz="4" w:space="0"/>
              <w:left w:val="single" w:color="000000" w:sz="4" w:space="0"/>
              <w:bottom w:val="single" w:color="000000" w:sz="4" w:space="0"/>
              <w:right w:val="single" w:color="000000" w:sz="4" w:space="0"/>
            </w:tcBorders>
            <w:vAlign w:val="center"/>
          </w:tcPr>
          <w:p w14:paraId="0A1D8D27">
            <w:pPr>
              <w:widowControl/>
              <w:jc w:val="center"/>
              <w:textAlignment w:val="center"/>
              <w:rPr>
                <w:rFonts w:hint="eastAsia" w:ascii="宋体" w:hAnsi="宋体" w:eastAsia="宋体" w:cs="宋体"/>
                <w:color w:val="auto"/>
                <w:sz w:val="22"/>
                <w:highlight w:val="none"/>
                <w:lang w:eastAsia="zh-CN"/>
              </w:rPr>
            </w:pPr>
            <w:r>
              <w:rPr>
                <w:rFonts w:hint="eastAsia" w:ascii="宋体" w:hAnsi="宋体" w:cs="宋体"/>
                <w:color w:val="auto"/>
                <w:kern w:val="0"/>
                <w:sz w:val="22"/>
                <w:highlight w:val="none"/>
                <w:lang w:val="en-US" w:eastAsia="zh-CN"/>
              </w:rPr>
              <w:t>第1-3名</w:t>
            </w:r>
          </w:p>
        </w:tc>
        <w:tc>
          <w:tcPr>
            <w:tcW w:w="1170" w:type="dxa"/>
            <w:tcBorders>
              <w:top w:val="single" w:color="000000" w:sz="4" w:space="0"/>
              <w:left w:val="single" w:color="000000" w:sz="4" w:space="0"/>
              <w:bottom w:val="single" w:color="000000" w:sz="4" w:space="0"/>
              <w:right w:val="single" w:color="000000" w:sz="4" w:space="0"/>
            </w:tcBorders>
            <w:vAlign w:val="center"/>
          </w:tcPr>
          <w:p w14:paraId="1DC38DC4">
            <w:pPr>
              <w:widowControl/>
              <w:jc w:val="center"/>
              <w:textAlignment w:val="center"/>
              <w:rPr>
                <w:rFonts w:hint="eastAsia" w:ascii="宋体" w:hAnsi="宋体" w:eastAsia="宋体" w:cs="宋体"/>
                <w:color w:val="auto"/>
                <w:sz w:val="22"/>
                <w:highlight w:val="none"/>
                <w:lang w:val="en-US" w:eastAsia="zh-CN"/>
              </w:rPr>
            </w:pPr>
            <w:r>
              <w:rPr>
                <w:rFonts w:hint="eastAsia" w:ascii="宋体" w:hAnsi="宋体" w:cs="宋体"/>
                <w:color w:val="auto"/>
                <w:kern w:val="0"/>
                <w:sz w:val="22"/>
                <w:highlight w:val="none"/>
                <w:lang w:val="en-US" w:eastAsia="zh-CN"/>
              </w:rPr>
              <w:t>3</w:t>
            </w:r>
            <w:r>
              <w:rPr>
                <w:rFonts w:hint="eastAsia" w:ascii="宋体" w:hAnsi="宋体" w:cs="宋体"/>
                <w:color w:val="auto"/>
                <w:kern w:val="0"/>
                <w:sz w:val="22"/>
                <w:highlight w:val="none"/>
                <w:lang w:eastAsia="zh-CN"/>
              </w:rPr>
              <w:t>家</w:t>
            </w:r>
          </w:p>
        </w:tc>
        <w:tc>
          <w:tcPr>
            <w:tcW w:w="1860" w:type="dxa"/>
            <w:tcBorders>
              <w:top w:val="single" w:color="000000" w:sz="4" w:space="0"/>
              <w:left w:val="single" w:color="000000" w:sz="4" w:space="0"/>
              <w:bottom w:val="single" w:color="000000" w:sz="4" w:space="0"/>
              <w:right w:val="single" w:color="000000" w:sz="4" w:space="0"/>
            </w:tcBorders>
            <w:vAlign w:val="center"/>
          </w:tcPr>
          <w:p w14:paraId="0F91B97D">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lang w:val="en-US" w:eastAsia="zh-CN"/>
              </w:rPr>
              <w:t>13.33%</w:t>
            </w:r>
          </w:p>
        </w:tc>
        <w:tc>
          <w:tcPr>
            <w:tcW w:w="2277" w:type="dxa"/>
            <w:tcBorders>
              <w:top w:val="single" w:color="000000" w:sz="4" w:space="0"/>
              <w:left w:val="single" w:color="000000" w:sz="4" w:space="0"/>
              <w:bottom w:val="single" w:color="000000" w:sz="4" w:space="0"/>
              <w:right w:val="single" w:color="000000" w:sz="4" w:space="0"/>
            </w:tcBorders>
            <w:vAlign w:val="center"/>
          </w:tcPr>
          <w:p w14:paraId="1F270FCF">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lang w:val="en-US" w:eastAsia="zh-CN"/>
              </w:rPr>
              <w:t>40%</w:t>
            </w:r>
          </w:p>
        </w:tc>
      </w:tr>
      <w:tr w14:paraId="7B140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1329" w:type="dxa"/>
            <w:tcBorders>
              <w:top w:val="single" w:color="000000" w:sz="4" w:space="0"/>
              <w:left w:val="single" w:color="000000" w:sz="4" w:space="0"/>
              <w:bottom w:val="single" w:color="000000" w:sz="4" w:space="0"/>
              <w:right w:val="single" w:color="000000" w:sz="4" w:space="0"/>
            </w:tcBorders>
            <w:vAlign w:val="center"/>
          </w:tcPr>
          <w:p w14:paraId="54966867">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第二档</w:t>
            </w:r>
          </w:p>
        </w:tc>
        <w:tc>
          <w:tcPr>
            <w:tcW w:w="1305" w:type="dxa"/>
            <w:tcBorders>
              <w:top w:val="single" w:color="000000" w:sz="4" w:space="0"/>
              <w:left w:val="single" w:color="000000" w:sz="4" w:space="0"/>
              <w:bottom w:val="single" w:color="000000" w:sz="4" w:space="0"/>
              <w:right w:val="single" w:color="000000" w:sz="4" w:space="0"/>
            </w:tcBorders>
            <w:vAlign w:val="center"/>
          </w:tcPr>
          <w:p w14:paraId="19538671">
            <w:pPr>
              <w:widowControl/>
              <w:jc w:val="center"/>
              <w:textAlignment w:val="center"/>
              <w:rPr>
                <w:rFonts w:hint="eastAsia" w:ascii="宋体" w:hAnsi="宋体" w:eastAsia="宋体" w:cs="宋体"/>
                <w:color w:val="auto"/>
                <w:sz w:val="22"/>
                <w:highlight w:val="none"/>
                <w:lang w:eastAsia="zh-CN"/>
              </w:rPr>
            </w:pPr>
            <w:r>
              <w:rPr>
                <w:rFonts w:hint="eastAsia" w:ascii="宋体" w:hAnsi="宋体" w:cs="宋体"/>
                <w:color w:val="auto"/>
                <w:kern w:val="0"/>
                <w:sz w:val="22"/>
                <w:highlight w:val="none"/>
                <w:lang w:val="en-US" w:eastAsia="zh-CN"/>
              </w:rPr>
              <w:t>第4-8名</w:t>
            </w:r>
          </w:p>
        </w:tc>
        <w:tc>
          <w:tcPr>
            <w:tcW w:w="1170" w:type="dxa"/>
            <w:tcBorders>
              <w:top w:val="single" w:color="000000" w:sz="4" w:space="0"/>
              <w:left w:val="single" w:color="000000" w:sz="4" w:space="0"/>
              <w:bottom w:val="single" w:color="000000" w:sz="4" w:space="0"/>
              <w:right w:val="single" w:color="000000" w:sz="4" w:space="0"/>
            </w:tcBorders>
            <w:vAlign w:val="center"/>
          </w:tcPr>
          <w:p w14:paraId="5285C545">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lang w:val="en-US" w:eastAsia="zh-CN"/>
              </w:rPr>
              <w:t>5</w:t>
            </w:r>
            <w:r>
              <w:rPr>
                <w:rFonts w:hint="eastAsia" w:ascii="宋体" w:hAnsi="宋体" w:cs="宋体"/>
                <w:color w:val="auto"/>
                <w:kern w:val="0"/>
                <w:sz w:val="22"/>
                <w:highlight w:val="none"/>
                <w:lang w:eastAsia="zh-CN"/>
              </w:rPr>
              <w:t>家</w:t>
            </w:r>
          </w:p>
        </w:tc>
        <w:tc>
          <w:tcPr>
            <w:tcW w:w="1860" w:type="dxa"/>
            <w:tcBorders>
              <w:top w:val="single" w:color="000000" w:sz="4" w:space="0"/>
              <w:left w:val="single" w:color="000000" w:sz="4" w:space="0"/>
              <w:bottom w:val="single" w:color="000000" w:sz="4" w:space="0"/>
              <w:right w:val="single" w:color="000000" w:sz="4" w:space="0"/>
            </w:tcBorders>
            <w:vAlign w:val="center"/>
          </w:tcPr>
          <w:p w14:paraId="6B58B834">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lang w:val="en-US" w:eastAsia="zh-CN"/>
              </w:rPr>
              <w:t>8%</w:t>
            </w:r>
          </w:p>
        </w:tc>
        <w:tc>
          <w:tcPr>
            <w:tcW w:w="2277" w:type="dxa"/>
            <w:tcBorders>
              <w:top w:val="single" w:color="000000" w:sz="4" w:space="0"/>
              <w:left w:val="single" w:color="000000" w:sz="4" w:space="0"/>
              <w:bottom w:val="single" w:color="000000" w:sz="4" w:space="0"/>
              <w:right w:val="single" w:color="000000" w:sz="4" w:space="0"/>
            </w:tcBorders>
            <w:vAlign w:val="center"/>
          </w:tcPr>
          <w:p w14:paraId="318AF20C">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lang w:val="en-US" w:eastAsia="zh-CN"/>
              </w:rPr>
              <w:t>40%</w:t>
            </w:r>
          </w:p>
        </w:tc>
      </w:tr>
      <w:tr w14:paraId="31223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1329" w:type="dxa"/>
            <w:tcBorders>
              <w:top w:val="single" w:color="000000" w:sz="4" w:space="0"/>
              <w:left w:val="single" w:color="000000" w:sz="4" w:space="0"/>
              <w:bottom w:val="single" w:color="000000" w:sz="4" w:space="0"/>
              <w:right w:val="single" w:color="000000" w:sz="4" w:space="0"/>
            </w:tcBorders>
            <w:vAlign w:val="center"/>
          </w:tcPr>
          <w:p w14:paraId="1F4E2140">
            <w:pPr>
              <w:widowControl/>
              <w:jc w:val="center"/>
              <w:textAlignment w:val="center"/>
              <w:rPr>
                <w:rFonts w:hint="eastAsia" w:ascii="宋体" w:hAnsi="宋体" w:cs="宋体"/>
                <w:color w:val="auto"/>
                <w:kern w:val="0"/>
                <w:sz w:val="22"/>
                <w:highlight w:val="none"/>
              </w:rPr>
            </w:pPr>
            <w:r>
              <w:rPr>
                <w:rFonts w:hint="eastAsia" w:ascii="宋体" w:hAnsi="宋体" w:cs="宋体"/>
                <w:color w:val="auto"/>
                <w:kern w:val="0"/>
                <w:sz w:val="22"/>
                <w:highlight w:val="none"/>
              </w:rPr>
              <w:t>第三档</w:t>
            </w:r>
          </w:p>
        </w:tc>
        <w:tc>
          <w:tcPr>
            <w:tcW w:w="1305" w:type="dxa"/>
            <w:tcBorders>
              <w:top w:val="single" w:color="000000" w:sz="4" w:space="0"/>
              <w:left w:val="single" w:color="000000" w:sz="4" w:space="0"/>
              <w:bottom w:val="single" w:color="000000" w:sz="4" w:space="0"/>
              <w:right w:val="single" w:color="000000" w:sz="4" w:space="0"/>
            </w:tcBorders>
            <w:vAlign w:val="center"/>
          </w:tcPr>
          <w:p w14:paraId="6321C746">
            <w:pPr>
              <w:widowControl/>
              <w:jc w:val="center"/>
              <w:textAlignment w:val="center"/>
              <w:rPr>
                <w:rFonts w:hint="eastAsia" w:ascii="宋体" w:hAnsi="宋体" w:cs="宋体"/>
                <w:color w:val="auto"/>
                <w:kern w:val="0"/>
                <w:sz w:val="22"/>
                <w:highlight w:val="none"/>
                <w:lang w:val="en-US" w:eastAsia="zh-CN"/>
              </w:rPr>
            </w:pPr>
            <w:r>
              <w:rPr>
                <w:rFonts w:hint="eastAsia" w:ascii="宋体" w:hAnsi="宋体" w:cs="宋体"/>
                <w:color w:val="auto"/>
                <w:kern w:val="0"/>
                <w:sz w:val="22"/>
                <w:highlight w:val="none"/>
                <w:lang w:val="en-US" w:eastAsia="zh-CN"/>
              </w:rPr>
              <w:t>第9-13名</w:t>
            </w:r>
          </w:p>
        </w:tc>
        <w:tc>
          <w:tcPr>
            <w:tcW w:w="1170" w:type="dxa"/>
            <w:tcBorders>
              <w:top w:val="single" w:color="000000" w:sz="4" w:space="0"/>
              <w:left w:val="single" w:color="000000" w:sz="4" w:space="0"/>
              <w:bottom w:val="single" w:color="000000" w:sz="4" w:space="0"/>
              <w:right w:val="single" w:color="000000" w:sz="4" w:space="0"/>
            </w:tcBorders>
            <w:vAlign w:val="center"/>
          </w:tcPr>
          <w:p w14:paraId="47A64A8B">
            <w:pPr>
              <w:widowControl/>
              <w:jc w:val="center"/>
              <w:textAlignment w:val="center"/>
              <w:rPr>
                <w:rFonts w:hint="eastAsia" w:ascii="宋体" w:hAnsi="宋体" w:cs="宋体"/>
                <w:color w:val="auto"/>
                <w:kern w:val="0"/>
                <w:sz w:val="22"/>
                <w:highlight w:val="none"/>
              </w:rPr>
            </w:pPr>
            <w:r>
              <w:rPr>
                <w:rFonts w:hint="eastAsia" w:ascii="宋体" w:hAnsi="宋体" w:cs="宋体"/>
                <w:color w:val="auto"/>
                <w:kern w:val="0"/>
                <w:sz w:val="22"/>
                <w:highlight w:val="none"/>
                <w:lang w:val="en-US" w:eastAsia="zh-CN"/>
              </w:rPr>
              <w:t>5</w:t>
            </w:r>
            <w:r>
              <w:rPr>
                <w:rFonts w:hint="eastAsia" w:ascii="宋体" w:hAnsi="宋体" w:cs="宋体"/>
                <w:color w:val="auto"/>
                <w:kern w:val="0"/>
                <w:sz w:val="22"/>
                <w:highlight w:val="none"/>
                <w:lang w:eastAsia="zh-CN"/>
              </w:rPr>
              <w:t>家</w:t>
            </w:r>
          </w:p>
        </w:tc>
        <w:tc>
          <w:tcPr>
            <w:tcW w:w="1860" w:type="dxa"/>
            <w:tcBorders>
              <w:top w:val="single" w:color="000000" w:sz="4" w:space="0"/>
              <w:left w:val="single" w:color="000000" w:sz="4" w:space="0"/>
              <w:bottom w:val="single" w:color="000000" w:sz="4" w:space="0"/>
              <w:right w:val="single" w:color="000000" w:sz="4" w:space="0"/>
            </w:tcBorders>
            <w:vAlign w:val="center"/>
          </w:tcPr>
          <w:p w14:paraId="5FEF73C4">
            <w:pPr>
              <w:widowControl/>
              <w:jc w:val="center"/>
              <w:textAlignment w:val="center"/>
              <w:rPr>
                <w:rFonts w:hint="eastAsia" w:ascii="宋体" w:hAnsi="宋体" w:cs="宋体"/>
                <w:color w:val="auto"/>
                <w:kern w:val="0"/>
                <w:sz w:val="22"/>
                <w:highlight w:val="none"/>
                <w:lang w:val="en-US" w:eastAsia="zh-CN"/>
              </w:rPr>
            </w:pPr>
            <w:r>
              <w:rPr>
                <w:rFonts w:hint="eastAsia" w:ascii="宋体" w:hAnsi="宋体" w:cs="宋体"/>
                <w:color w:val="auto"/>
                <w:kern w:val="0"/>
                <w:sz w:val="22"/>
                <w:highlight w:val="none"/>
                <w:lang w:val="en-US" w:eastAsia="zh-CN"/>
              </w:rPr>
              <w:t>4%</w:t>
            </w:r>
          </w:p>
        </w:tc>
        <w:tc>
          <w:tcPr>
            <w:tcW w:w="2277" w:type="dxa"/>
            <w:tcBorders>
              <w:top w:val="single" w:color="000000" w:sz="4" w:space="0"/>
              <w:left w:val="single" w:color="000000" w:sz="4" w:space="0"/>
              <w:bottom w:val="single" w:color="000000" w:sz="4" w:space="0"/>
              <w:right w:val="single" w:color="000000" w:sz="4" w:space="0"/>
            </w:tcBorders>
            <w:vAlign w:val="center"/>
          </w:tcPr>
          <w:p w14:paraId="634C9299">
            <w:pPr>
              <w:widowControl/>
              <w:jc w:val="center"/>
              <w:textAlignment w:val="center"/>
              <w:rPr>
                <w:rFonts w:hint="eastAsia" w:ascii="宋体" w:hAnsi="宋体" w:cs="宋体"/>
                <w:color w:val="auto"/>
                <w:kern w:val="0"/>
                <w:sz w:val="22"/>
                <w:highlight w:val="none"/>
                <w:lang w:val="en-US" w:eastAsia="zh-CN"/>
              </w:rPr>
            </w:pPr>
            <w:r>
              <w:rPr>
                <w:rFonts w:hint="eastAsia" w:ascii="宋体" w:hAnsi="宋体" w:cs="宋体"/>
                <w:color w:val="auto"/>
                <w:kern w:val="0"/>
                <w:sz w:val="22"/>
                <w:highlight w:val="none"/>
                <w:lang w:val="en-US" w:eastAsia="zh-CN"/>
              </w:rPr>
              <w:t>20%</w:t>
            </w:r>
          </w:p>
        </w:tc>
      </w:tr>
      <w:tr w14:paraId="0686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5664" w:type="dxa"/>
            <w:gridSpan w:val="4"/>
            <w:tcBorders>
              <w:top w:val="single" w:color="000000" w:sz="4" w:space="0"/>
              <w:left w:val="single" w:color="000000" w:sz="4" w:space="0"/>
              <w:bottom w:val="single" w:color="000000" w:sz="4" w:space="0"/>
              <w:right w:val="single" w:color="000000" w:sz="4" w:space="0"/>
            </w:tcBorders>
            <w:vAlign w:val="center"/>
          </w:tcPr>
          <w:p w14:paraId="19AC17D5">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rPr>
              <w:t>合计</w:t>
            </w:r>
          </w:p>
        </w:tc>
        <w:tc>
          <w:tcPr>
            <w:tcW w:w="2277" w:type="dxa"/>
            <w:tcBorders>
              <w:top w:val="single" w:color="000000" w:sz="4" w:space="0"/>
              <w:left w:val="single" w:color="000000" w:sz="4" w:space="0"/>
              <w:bottom w:val="single" w:color="000000" w:sz="4" w:space="0"/>
              <w:right w:val="single" w:color="000000" w:sz="4" w:space="0"/>
            </w:tcBorders>
            <w:vAlign w:val="center"/>
          </w:tcPr>
          <w:p w14:paraId="53AEC47A">
            <w:pPr>
              <w:widowControl/>
              <w:jc w:val="center"/>
              <w:textAlignment w:val="center"/>
              <w:rPr>
                <w:rFonts w:ascii="宋体" w:hAnsi="宋体" w:cs="宋体"/>
                <w:color w:val="auto"/>
                <w:sz w:val="22"/>
                <w:highlight w:val="none"/>
              </w:rPr>
            </w:pPr>
            <w:r>
              <w:rPr>
                <w:rFonts w:hint="eastAsia" w:ascii="宋体" w:hAnsi="宋体" w:cs="宋体"/>
                <w:color w:val="auto"/>
                <w:kern w:val="0"/>
                <w:sz w:val="22"/>
                <w:highlight w:val="none"/>
                <w:lang w:val="en-US" w:eastAsia="zh-CN"/>
              </w:rPr>
              <w:t>100%</w:t>
            </w:r>
          </w:p>
        </w:tc>
      </w:tr>
    </w:tbl>
    <w:p w14:paraId="11CEDD8C">
      <w:pPr>
        <w:spacing w:line="360" w:lineRule="auto"/>
        <w:rPr>
          <w:rFonts w:ascii="黑体" w:hAnsi="黑体" w:eastAsia="黑体"/>
          <w:color w:val="auto"/>
          <w:szCs w:val="21"/>
          <w:highlight w:val="none"/>
        </w:rPr>
      </w:pPr>
    </w:p>
    <w:p w14:paraId="212946A8">
      <w:pPr>
        <w:numPr>
          <w:ilvl w:val="0"/>
          <w:numId w:val="5"/>
        </w:numPr>
        <w:spacing w:line="360" w:lineRule="auto"/>
        <w:rPr>
          <w:rFonts w:ascii="黑体" w:hAnsi="黑体" w:eastAsia="黑体"/>
          <w:b/>
          <w:color w:val="auto"/>
          <w:szCs w:val="21"/>
          <w:highlight w:val="none"/>
        </w:rPr>
      </w:pPr>
      <w:r>
        <w:rPr>
          <w:rFonts w:hint="eastAsia" w:ascii="黑体" w:hAnsi="黑体" w:eastAsia="黑体"/>
          <w:b/>
          <w:color w:val="auto"/>
          <w:szCs w:val="21"/>
          <w:highlight w:val="none"/>
        </w:rPr>
        <w:t>服务要求</w:t>
      </w:r>
    </w:p>
    <w:p w14:paraId="5AF1DDFD">
      <w:pPr>
        <w:numPr>
          <w:ilvl w:val="0"/>
          <w:numId w:val="7"/>
        </w:numPr>
        <w:spacing w:line="360" w:lineRule="auto"/>
        <w:rPr>
          <w:rFonts w:ascii="黑体" w:hAnsi="黑体" w:eastAsia="黑体"/>
          <w:b/>
          <w:color w:val="auto"/>
          <w:szCs w:val="21"/>
          <w:highlight w:val="none"/>
        </w:rPr>
      </w:pPr>
      <w:r>
        <w:rPr>
          <w:rFonts w:hint="eastAsia" w:ascii="黑体" w:hAnsi="黑体" w:eastAsia="黑体"/>
          <w:b/>
          <w:color w:val="auto"/>
          <w:szCs w:val="21"/>
          <w:highlight w:val="none"/>
        </w:rPr>
        <w:t>业务服务要求</w:t>
      </w:r>
    </w:p>
    <w:p w14:paraId="0E19C5A8">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按银行业规定开设非结算账户用于接收财政</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资金，接收账户户名确定为“</w:t>
      </w:r>
      <w:r>
        <w:rPr>
          <w:rFonts w:hint="eastAsia" w:ascii="黑体" w:hAnsi="黑体" w:eastAsia="黑体"/>
          <w:color w:val="auto"/>
          <w:szCs w:val="21"/>
          <w:highlight w:val="none"/>
          <w:lang w:eastAsia="zh-CN"/>
        </w:rPr>
        <w:t>东莞松山湖高新技术产业开发区管理委员会</w:t>
      </w:r>
      <w:r>
        <w:rPr>
          <w:rFonts w:hint="eastAsia" w:ascii="黑体" w:hAnsi="黑体" w:eastAsia="黑体"/>
          <w:color w:val="auto"/>
          <w:szCs w:val="21"/>
          <w:highlight w:val="none"/>
          <w:lang w:val="en-US" w:eastAsia="zh-CN"/>
        </w:rPr>
        <w:t>财政国资金融局</w:t>
      </w:r>
      <w:r>
        <w:rPr>
          <w:rFonts w:hint="eastAsia" w:ascii="黑体" w:hAnsi="黑体" w:eastAsia="黑体"/>
          <w:color w:val="auto"/>
          <w:szCs w:val="21"/>
          <w:highlight w:val="none"/>
        </w:rPr>
        <w:t>”，不得以其他一般户接收资金再转入</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账户。</w:t>
      </w:r>
    </w:p>
    <w:p w14:paraId="02ACCD37">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为保障</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财政资金安全，</w:t>
      </w: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承诺该存款账户不开通网上交易功能。</w:t>
      </w:r>
    </w:p>
    <w:p w14:paraId="2B5C8650">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应接受</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日常监督管理，保证财政资金安全及确保服务结束后不造成任何影响。</w:t>
      </w:r>
    </w:p>
    <w:p w14:paraId="72D24BA6">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根据</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的指令要求，在规定的时间内反馈</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资金的信息，</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向</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提供“</w:t>
      </w:r>
      <w:r>
        <w:rPr>
          <w:rFonts w:hint="eastAsia" w:ascii="黑体" w:hAnsi="黑体" w:eastAsia="黑体"/>
          <w:color w:val="auto"/>
          <w:szCs w:val="21"/>
          <w:highlight w:val="none"/>
          <w:lang w:eastAsia="zh-CN"/>
        </w:rPr>
        <w:t>东莞松山湖高新技术产业开发区管理委员会</w:t>
      </w:r>
      <w:r>
        <w:rPr>
          <w:rFonts w:hint="eastAsia" w:ascii="黑体" w:hAnsi="黑体" w:eastAsia="黑体"/>
          <w:color w:val="auto"/>
          <w:szCs w:val="21"/>
          <w:highlight w:val="none"/>
          <w:lang w:val="en-US" w:eastAsia="zh-CN"/>
        </w:rPr>
        <w:t>财政国资金融局</w:t>
      </w:r>
      <w:r>
        <w:rPr>
          <w:rFonts w:hint="eastAsia" w:ascii="黑体" w:hAnsi="黑体" w:eastAsia="黑体"/>
          <w:color w:val="auto"/>
          <w:szCs w:val="21"/>
          <w:highlight w:val="none"/>
        </w:rPr>
        <w:t>”账户的对账单及回单，并提供实时信息查询服务。</w:t>
      </w:r>
    </w:p>
    <w:p w14:paraId="437DCE0C">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每笔</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存款到期后，</w:t>
      </w: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按约定利率在到期日向</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一次性计付利息。</w:t>
      </w:r>
    </w:p>
    <w:p w14:paraId="655C792F">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根据</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指令及时办理财政</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存款账户</w:t>
      </w:r>
      <w:r>
        <w:rPr>
          <w:rFonts w:hint="eastAsia" w:ascii="黑体" w:hAnsi="黑体" w:eastAsia="黑体"/>
          <w:color w:val="auto"/>
          <w:spacing w:val="-6"/>
          <w:szCs w:val="21"/>
          <w:highlight w:val="none"/>
        </w:rPr>
        <w:t>（户名为“</w:t>
      </w:r>
      <w:r>
        <w:rPr>
          <w:rFonts w:hint="eastAsia" w:ascii="黑体" w:hAnsi="黑体" w:eastAsia="黑体"/>
          <w:color w:val="auto"/>
          <w:szCs w:val="21"/>
          <w:highlight w:val="none"/>
          <w:lang w:eastAsia="zh-CN"/>
        </w:rPr>
        <w:t>东莞松山湖高新技术产业开发区管理委员会</w:t>
      </w:r>
      <w:r>
        <w:rPr>
          <w:rFonts w:hint="eastAsia" w:ascii="黑体" w:hAnsi="黑体" w:eastAsia="黑体"/>
          <w:color w:val="auto"/>
          <w:szCs w:val="21"/>
          <w:highlight w:val="none"/>
          <w:lang w:val="en-US" w:eastAsia="zh-CN"/>
        </w:rPr>
        <w:t>财政国资金融局</w:t>
      </w:r>
      <w:r>
        <w:rPr>
          <w:rFonts w:hint="eastAsia" w:ascii="黑体" w:hAnsi="黑体" w:eastAsia="黑体"/>
          <w:color w:val="auto"/>
          <w:spacing w:val="-6"/>
          <w:szCs w:val="21"/>
          <w:highlight w:val="none"/>
        </w:rPr>
        <w:t>”）的开立、提前支取、到期支取等业务，</w:t>
      </w:r>
      <w:r>
        <w:rPr>
          <w:rFonts w:hint="eastAsia" w:ascii="黑体" w:hAnsi="黑体" w:eastAsia="黑体"/>
          <w:color w:val="auto"/>
          <w:szCs w:val="21"/>
          <w:highlight w:val="none"/>
        </w:rPr>
        <w:t>并将办理情况及时以书面形式报告</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w:t>
      </w:r>
    </w:p>
    <w:p w14:paraId="311EBA97">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不得将</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存款账户的资金办理</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存款以外的任何操作，如购买理财产品等。</w:t>
      </w:r>
    </w:p>
    <w:p w14:paraId="1AB1B3E4">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存款准备到期时，</w:t>
      </w: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应至少提前七个工作日通知</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将根据资金使用计划情况确定是否办理续存，每笔</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存款续存期不超过原服务期限；需要收回使用的</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存款，则不再续存，</w:t>
      </w: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应在到期日将</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存款及所有利息一次性转回财政资金原转出账户或指定账户，不得无故拖延或截留。</w:t>
      </w:r>
    </w:p>
    <w:p w14:paraId="59BF38E5">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应向</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出具廉政承诺书，承诺：不向采购相关负责人输送任何利益；不将资金存放与资金存放主体相关负责人员在本行亲属的业绩、收入挂钩。凡发现并经核实</w:t>
      </w: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未遵守廉政承诺内容的，</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有权单方面收回资金，并予以通报。</w:t>
      </w:r>
    </w:p>
    <w:p w14:paraId="70DC48FE">
      <w:pPr>
        <w:numPr>
          <w:ilvl w:val="0"/>
          <w:numId w:val="8"/>
        </w:numPr>
        <w:spacing w:line="360" w:lineRule="auto"/>
        <w:rPr>
          <w:rFonts w:ascii="黑体" w:hAnsi="黑体" w:eastAsia="黑体"/>
          <w:color w:val="auto"/>
          <w:szCs w:val="21"/>
          <w:highlight w:val="none"/>
        </w:rPr>
      </w:pP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出现重大安全风险事件或经营状况恶化影响资金存放安全的，</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有权单方面收回资金，</w:t>
      </w: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须按原约定</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利率给予付息。</w:t>
      </w:r>
    </w:p>
    <w:p w14:paraId="43867785">
      <w:pPr>
        <w:numPr>
          <w:ilvl w:val="0"/>
          <w:numId w:val="7"/>
        </w:numPr>
        <w:spacing w:beforeLines="50" w:line="360" w:lineRule="auto"/>
        <w:rPr>
          <w:rFonts w:ascii="黑体" w:hAnsi="黑体" w:eastAsia="黑体"/>
          <w:b/>
          <w:color w:val="auto"/>
          <w:szCs w:val="21"/>
          <w:highlight w:val="none"/>
        </w:rPr>
      </w:pPr>
      <w:r>
        <w:rPr>
          <w:rFonts w:hint="eastAsia" w:ascii="黑体" w:hAnsi="黑体" w:eastAsia="黑体"/>
          <w:b/>
          <w:color w:val="auto"/>
          <w:szCs w:val="21"/>
          <w:highlight w:val="none"/>
        </w:rPr>
        <w:t>其他服务要求</w:t>
      </w:r>
    </w:p>
    <w:p w14:paraId="3BF4288B">
      <w:pPr>
        <w:numPr>
          <w:ilvl w:val="0"/>
          <w:numId w:val="9"/>
        </w:numPr>
        <w:spacing w:line="360" w:lineRule="auto"/>
        <w:rPr>
          <w:rFonts w:ascii="黑体" w:hAnsi="黑体" w:eastAsia="黑体"/>
          <w:color w:val="auto"/>
          <w:szCs w:val="21"/>
          <w:highlight w:val="none"/>
        </w:rPr>
      </w:pP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根据自身情况，在政策允许范围内，应对</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办理</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业务给予相关优惠条件，含</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利率上浮，账户管理费、转账手续费及回单箱管理费用减免等。</w:t>
      </w:r>
    </w:p>
    <w:p w14:paraId="48AACC75">
      <w:pPr>
        <w:numPr>
          <w:ilvl w:val="0"/>
          <w:numId w:val="9"/>
        </w:numPr>
        <w:spacing w:line="360" w:lineRule="auto"/>
        <w:rPr>
          <w:rFonts w:ascii="黑体" w:hAnsi="黑体" w:eastAsia="黑体"/>
          <w:color w:val="auto"/>
          <w:szCs w:val="21"/>
          <w:highlight w:val="none"/>
        </w:rPr>
      </w:pPr>
      <w:r>
        <w:rPr>
          <w:rFonts w:hint="eastAsia" w:ascii="黑体" w:hAnsi="黑体" w:eastAsia="黑体"/>
          <w:color w:val="auto"/>
          <w:szCs w:val="21"/>
          <w:highlight w:val="none"/>
          <w:u w:val="double"/>
        </w:rPr>
        <w:t>中标人</w:t>
      </w:r>
      <w:r>
        <w:rPr>
          <w:rFonts w:hint="eastAsia" w:ascii="黑体" w:hAnsi="黑体" w:eastAsia="黑体"/>
          <w:color w:val="auto"/>
          <w:szCs w:val="21"/>
          <w:highlight w:val="none"/>
        </w:rPr>
        <w:t>指定不少于1名熟悉业务的专人负责</w:t>
      </w:r>
      <w:r>
        <w:rPr>
          <w:rFonts w:hint="eastAsia" w:ascii="黑体" w:hAnsi="黑体" w:eastAsia="黑体"/>
          <w:color w:val="auto"/>
          <w:szCs w:val="21"/>
          <w:highlight w:val="none"/>
          <w:u w:val="double"/>
        </w:rPr>
        <w:t>采购人</w:t>
      </w:r>
      <w:r>
        <w:rPr>
          <w:rFonts w:hint="eastAsia" w:ascii="黑体" w:hAnsi="黑体" w:eastAsia="黑体"/>
          <w:color w:val="auto"/>
          <w:szCs w:val="21"/>
          <w:highlight w:val="none"/>
        </w:rPr>
        <w:t>办理</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业务，提供上门对账、办理业务、核对信息等服务。</w:t>
      </w:r>
    </w:p>
    <w:p w14:paraId="31159963">
      <w:pPr>
        <w:numPr>
          <w:ilvl w:val="0"/>
          <w:numId w:val="9"/>
        </w:numPr>
        <w:spacing w:line="360" w:lineRule="auto"/>
        <w:rPr>
          <w:rFonts w:hint="eastAsia" w:ascii="黑体" w:hAnsi="黑体" w:eastAsia="黑体"/>
          <w:color w:val="auto"/>
          <w:szCs w:val="21"/>
          <w:highlight w:val="none"/>
          <w:lang w:val="en-US" w:eastAsia="zh-CN"/>
        </w:rPr>
      </w:pPr>
      <w:r>
        <w:rPr>
          <w:rFonts w:hint="default" w:ascii="黑体" w:hAnsi="黑体" w:eastAsia="黑体"/>
          <w:color w:val="auto"/>
          <w:szCs w:val="21"/>
          <w:highlight w:val="none"/>
        </w:rPr>
        <w:t>公布中标结果后，如</w:t>
      </w:r>
      <w:r>
        <w:rPr>
          <w:rFonts w:hint="eastAsia" w:ascii="黑体" w:hAnsi="黑体" w:eastAsia="黑体"/>
          <w:color w:val="auto"/>
          <w:szCs w:val="21"/>
          <w:highlight w:val="none"/>
        </w:rPr>
        <w:t>某次</w:t>
      </w:r>
      <w:r>
        <w:rPr>
          <w:rFonts w:hint="default" w:ascii="黑体" w:hAnsi="黑体" w:eastAsia="黑体"/>
          <w:color w:val="auto"/>
          <w:szCs w:val="21"/>
          <w:highlight w:val="none"/>
        </w:rPr>
        <w:t>个别</w:t>
      </w:r>
      <w:r>
        <w:rPr>
          <w:rFonts w:hint="default" w:ascii="黑体" w:hAnsi="黑体" w:eastAsia="黑体"/>
          <w:color w:val="auto"/>
          <w:szCs w:val="21"/>
          <w:highlight w:val="none"/>
          <w:u w:val="double"/>
        </w:rPr>
        <w:t>中标人</w:t>
      </w:r>
      <w:r>
        <w:rPr>
          <w:rFonts w:hint="default" w:ascii="黑体" w:hAnsi="黑体" w:eastAsia="黑体"/>
          <w:color w:val="auto"/>
          <w:szCs w:val="21"/>
          <w:highlight w:val="none"/>
        </w:rPr>
        <w:t>无法按照合同要求存放存款，导致能够履约的中标人的分配比例的合计不足100%，余下部分按照中标比例分配到能够履约的</w:t>
      </w:r>
      <w:r>
        <w:rPr>
          <w:rFonts w:hint="default" w:ascii="黑体" w:hAnsi="黑体" w:eastAsia="黑体"/>
          <w:color w:val="auto"/>
          <w:szCs w:val="21"/>
          <w:highlight w:val="none"/>
          <w:u w:val="double"/>
        </w:rPr>
        <w:t>中标人</w:t>
      </w:r>
      <w:r>
        <w:rPr>
          <w:rFonts w:hint="default" w:ascii="黑体" w:hAnsi="黑体" w:eastAsia="黑体"/>
          <w:color w:val="auto"/>
          <w:szCs w:val="21"/>
          <w:highlight w:val="none"/>
        </w:rPr>
        <w:t>。</w:t>
      </w:r>
      <w:r>
        <w:rPr>
          <w:rFonts w:hint="eastAsia" w:ascii="黑体" w:hAnsi="黑体" w:eastAsia="黑体"/>
          <w:color w:val="auto"/>
          <w:szCs w:val="21"/>
          <w:highlight w:val="none"/>
        </w:rPr>
        <w:t>分</w:t>
      </w:r>
      <w:r>
        <w:rPr>
          <w:rFonts w:hint="default" w:ascii="黑体" w:hAnsi="黑体" w:eastAsia="黑体"/>
          <w:color w:val="auto"/>
          <w:szCs w:val="21"/>
          <w:highlight w:val="none"/>
        </w:rPr>
        <w:t>配比例取小数点后</w:t>
      </w:r>
      <w:r>
        <w:rPr>
          <w:rFonts w:hint="eastAsia" w:ascii="黑体" w:hAnsi="黑体" w:eastAsia="黑体"/>
          <w:color w:val="auto"/>
          <w:szCs w:val="21"/>
          <w:highlight w:val="none"/>
          <w:lang w:eastAsia="zh-CN"/>
        </w:rPr>
        <w:t>两</w:t>
      </w:r>
      <w:r>
        <w:rPr>
          <w:rFonts w:hint="default" w:ascii="黑体" w:hAnsi="黑体" w:eastAsia="黑体"/>
          <w:color w:val="auto"/>
          <w:szCs w:val="21"/>
          <w:highlight w:val="none"/>
        </w:rPr>
        <w:t>位，如依然无法平均分配的，则尾数按排名顺序依次分配。</w:t>
      </w:r>
    </w:p>
    <w:p w14:paraId="22A7AB12">
      <w:pPr>
        <w:spacing w:line="360" w:lineRule="auto"/>
        <w:rPr>
          <w:rFonts w:ascii="黑体" w:hAnsi="黑体" w:eastAsia="黑体"/>
          <w:color w:val="auto"/>
          <w:szCs w:val="21"/>
          <w:highlight w:val="none"/>
        </w:rPr>
      </w:pPr>
    </w:p>
    <w:p w14:paraId="45F317AD">
      <w:pPr>
        <w:pStyle w:val="2"/>
        <w:pageBreakBefore/>
        <w:widowControl w:val="0"/>
        <w:kinsoku/>
        <w:wordWrap/>
        <w:overflowPunct/>
        <w:topLinePunct w:val="0"/>
        <w:autoSpaceDE/>
        <w:autoSpaceDN/>
        <w:bidi w:val="0"/>
        <w:adjustRightInd/>
        <w:snapToGrid/>
        <w:spacing w:before="300" w:after="240" w:line="240" w:lineRule="atLeast"/>
        <w:jc w:val="center"/>
        <w:textAlignment w:val="auto"/>
        <w:rPr>
          <w:rFonts w:ascii="黑体" w:hAnsi="黑体" w:eastAsia="黑体"/>
          <w:color w:val="auto"/>
          <w:spacing w:val="20"/>
          <w:sz w:val="32"/>
          <w:szCs w:val="32"/>
          <w:highlight w:val="none"/>
        </w:rPr>
      </w:pPr>
      <w:bookmarkStart w:id="9" w:name="_Toc23715267"/>
      <w:bookmarkStart w:id="10" w:name="_Toc405313953"/>
      <w:bookmarkStart w:id="11" w:name="_Toc391627749"/>
      <w:r>
        <w:rPr>
          <w:rFonts w:hint="eastAsia" w:ascii="黑体" w:hAnsi="黑体" w:eastAsia="黑体"/>
          <w:color w:val="auto"/>
          <w:spacing w:val="20"/>
          <w:sz w:val="32"/>
          <w:szCs w:val="32"/>
          <w:highlight w:val="none"/>
        </w:rPr>
        <w:t>第三部分 投标须知前附表</w:t>
      </w:r>
      <w:bookmarkEnd w:id="9"/>
      <w:bookmarkEnd w:id="10"/>
      <w:bookmarkEnd w:id="11"/>
    </w:p>
    <w:p w14:paraId="3BAFC997">
      <w:pPr>
        <w:keepNext w:val="0"/>
        <w:keepLines w:val="0"/>
        <w:pageBreakBefore w:val="0"/>
        <w:widowControl w:val="0"/>
        <w:tabs>
          <w:tab w:val="left" w:pos="426"/>
        </w:tabs>
        <w:kinsoku/>
        <w:wordWrap/>
        <w:overflowPunct/>
        <w:topLinePunct w:val="0"/>
        <w:autoSpaceDE/>
        <w:autoSpaceDN/>
        <w:bidi w:val="0"/>
        <w:adjustRightInd/>
        <w:snapToGrid/>
        <w:spacing w:afterLines="50" w:line="240" w:lineRule="atLeast"/>
        <w:ind w:firstLine="420" w:firstLineChars="200"/>
        <w:textAlignment w:val="auto"/>
        <w:rPr>
          <w:rFonts w:ascii="黑体" w:hAnsi="黑体" w:eastAsia="黑体"/>
          <w:color w:val="auto"/>
          <w:szCs w:val="21"/>
          <w:highlight w:val="none"/>
        </w:rPr>
      </w:pPr>
      <w:r>
        <w:rPr>
          <w:rFonts w:hint="eastAsia" w:ascii="黑体" w:hAnsi="黑体" w:eastAsia="黑体"/>
          <w:color w:val="auto"/>
          <w:szCs w:val="21"/>
          <w:highlight w:val="none"/>
        </w:rPr>
        <w:t>本表的条款项号是与投标须知条款项号对应的，或增加的条款，是对第四部分《投标须知》及第六部分《合同书格式》的补充、修改和完善，如果有矛盾的话，应以本表为准。</w:t>
      </w:r>
    </w:p>
    <w:tbl>
      <w:tblPr>
        <w:tblStyle w:val="2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528"/>
      </w:tblGrid>
      <w:tr w14:paraId="5A4850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9"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71130F1">
            <w:pPr>
              <w:keepNext w:val="0"/>
              <w:keepLines w:val="0"/>
              <w:pageBreakBefore w:val="0"/>
              <w:widowControl w:val="0"/>
              <w:kinsoku/>
              <w:wordWrap/>
              <w:overflowPunct/>
              <w:topLinePunct w:val="0"/>
              <w:autoSpaceDE/>
              <w:autoSpaceDN/>
              <w:bidi w:val="0"/>
              <w:adjustRightInd/>
              <w:snapToGrid/>
              <w:spacing w:line="240" w:lineRule="atLeast"/>
              <w:ind w:right="-183"/>
              <w:jc w:val="center"/>
              <w:textAlignment w:val="auto"/>
              <w:rPr>
                <w:rFonts w:ascii="黑体" w:hAnsi="黑体" w:eastAsia="黑体"/>
                <w:color w:val="auto"/>
                <w:spacing w:val="20"/>
                <w:szCs w:val="21"/>
                <w:highlight w:val="none"/>
              </w:rPr>
            </w:pPr>
            <w:r>
              <w:rPr>
                <w:rFonts w:hint="eastAsia" w:ascii="黑体" w:hAnsi="黑体" w:eastAsia="黑体"/>
                <w:color w:val="auto"/>
                <w:spacing w:val="20"/>
                <w:szCs w:val="21"/>
                <w:highlight w:val="none"/>
              </w:rPr>
              <w:t>对应或增加的条款内容</w:t>
            </w:r>
          </w:p>
        </w:tc>
      </w:tr>
      <w:tr w14:paraId="28E6C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0A898D57">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color w:val="auto"/>
                <w:szCs w:val="21"/>
                <w:highlight w:val="none"/>
              </w:rPr>
            </w:pPr>
            <w:r>
              <w:rPr>
                <w:rFonts w:hint="eastAsia" w:ascii="黑体" w:hAnsi="黑体" w:eastAsia="黑体"/>
                <w:color w:val="auto"/>
                <w:szCs w:val="21"/>
                <w:highlight w:val="none"/>
              </w:rPr>
              <w:t>对第四部分《投标须知》的修改及补充：</w:t>
            </w:r>
          </w:p>
        </w:tc>
      </w:tr>
      <w:tr w14:paraId="471F3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2EE466EE">
            <w:pPr>
              <w:keepNext w:val="0"/>
              <w:keepLines w:val="0"/>
              <w:pageBreakBefore w:val="0"/>
              <w:widowControl w:val="0"/>
              <w:kinsoku/>
              <w:wordWrap/>
              <w:overflowPunct/>
              <w:topLinePunct w:val="0"/>
              <w:autoSpaceDE/>
              <w:autoSpaceDN/>
              <w:bidi w:val="0"/>
              <w:adjustRightInd/>
              <w:snapToGrid/>
              <w:spacing w:line="240" w:lineRule="atLeast"/>
              <w:ind w:right="-183"/>
              <w:jc w:val="left"/>
              <w:textAlignment w:val="auto"/>
              <w:rPr>
                <w:rFonts w:ascii="黑体" w:hAnsi="黑体" w:eastAsia="黑体"/>
                <w:color w:val="auto"/>
                <w:szCs w:val="21"/>
                <w:highlight w:val="none"/>
              </w:rPr>
            </w:pPr>
            <w:r>
              <w:rPr>
                <w:rFonts w:hint="eastAsia" w:ascii="黑体" w:hAnsi="黑体" w:eastAsia="黑体"/>
                <w:color w:val="auto"/>
                <w:szCs w:val="21"/>
                <w:highlight w:val="none"/>
              </w:rPr>
              <w:t>一 总则说明</w:t>
            </w:r>
          </w:p>
        </w:tc>
      </w:tr>
      <w:tr w14:paraId="7164A8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5000" w:type="pct"/>
            <w:tcBorders>
              <w:top w:val="single" w:color="auto" w:sz="6" w:space="0"/>
              <w:left w:val="single" w:color="auto" w:sz="6" w:space="0"/>
              <w:bottom w:val="single" w:color="auto" w:sz="6" w:space="0"/>
              <w:right w:val="single" w:color="auto" w:sz="4" w:space="0"/>
            </w:tcBorders>
            <w:vAlign w:val="center"/>
          </w:tcPr>
          <w:p w14:paraId="35999DB6">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color w:val="auto"/>
                <w:szCs w:val="21"/>
                <w:highlight w:val="none"/>
              </w:rPr>
            </w:pPr>
            <w:r>
              <w:rPr>
                <w:rFonts w:hint="eastAsia" w:ascii="黑体" w:hAnsi="黑体" w:eastAsia="黑体"/>
                <w:color w:val="auto"/>
                <w:szCs w:val="21"/>
                <w:highlight w:val="none"/>
              </w:rPr>
              <w:t>资金来源：保值增值资金</w:t>
            </w:r>
          </w:p>
        </w:tc>
      </w:tr>
      <w:tr w14:paraId="48571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3" w:hRule="atLeast"/>
          <w:jc w:val="center"/>
        </w:trPr>
        <w:tc>
          <w:tcPr>
            <w:tcW w:w="5000" w:type="pct"/>
            <w:tcBorders>
              <w:top w:val="single" w:color="auto" w:sz="6" w:space="0"/>
              <w:left w:val="single" w:color="auto" w:sz="6" w:space="0"/>
              <w:bottom w:val="single" w:color="auto" w:sz="6" w:space="0"/>
              <w:right w:val="single" w:color="auto" w:sz="4" w:space="0"/>
            </w:tcBorders>
            <w:vAlign w:val="center"/>
          </w:tcPr>
          <w:p w14:paraId="5A69F9C6">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hint="eastAsia" w:ascii="黑体" w:hAnsi="黑体" w:eastAsia="黑体"/>
                <w:color w:val="auto"/>
                <w:szCs w:val="21"/>
                <w:highlight w:val="none"/>
                <w:lang w:eastAsia="zh-CN"/>
              </w:rPr>
            </w:pPr>
            <w:r>
              <w:rPr>
                <w:rFonts w:hint="eastAsia" w:ascii="黑体" w:hAnsi="黑体" w:eastAsia="黑体"/>
                <w:color w:val="auto"/>
                <w:szCs w:val="21"/>
                <w:highlight w:val="none"/>
              </w:rPr>
              <w:t>"</w:t>
            </w:r>
            <w:r>
              <w:rPr>
                <w:rFonts w:ascii="黑体" w:hAnsi="黑体" w:eastAsia="黑体"/>
                <w:color w:val="auto"/>
                <w:szCs w:val="21"/>
                <w:highlight w:val="none"/>
              </w:rPr>
              <w:t>采购人</w:t>
            </w:r>
            <w:r>
              <w:rPr>
                <w:rFonts w:hint="eastAsia" w:ascii="黑体" w:hAnsi="黑体" w:eastAsia="黑体"/>
                <w:color w:val="auto"/>
                <w:szCs w:val="21"/>
                <w:highlight w:val="none"/>
              </w:rPr>
              <w:t>"</w:t>
            </w:r>
            <w:r>
              <w:rPr>
                <w:rFonts w:ascii="黑体" w:hAnsi="黑体" w:eastAsia="黑体"/>
                <w:color w:val="auto"/>
                <w:szCs w:val="21"/>
                <w:highlight w:val="none"/>
              </w:rPr>
              <w:t>是指：</w:t>
            </w:r>
            <w:r>
              <w:rPr>
                <w:rFonts w:hint="eastAsia" w:ascii="黑体" w:hAnsi="黑体" w:eastAsia="黑体"/>
                <w:color w:val="auto"/>
                <w:szCs w:val="21"/>
                <w:highlight w:val="none"/>
                <w:lang w:eastAsia="zh-CN"/>
              </w:rPr>
              <w:t>东莞松山湖高新技术产业开发区管理委员会</w:t>
            </w:r>
          </w:p>
          <w:p w14:paraId="39E5997A">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color w:val="auto"/>
                <w:szCs w:val="21"/>
                <w:highlight w:val="none"/>
              </w:rPr>
            </w:pPr>
            <w:r>
              <w:rPr>
                <w:rFonts w:hint="eastAsia" w:ascii="黑体" w:hAnsi="黑体" w:eastAsia="黑体"/>
                <w:color w:val="auto"/>
                <w:szCs w:val="21"/>
                <w:highlight w:val="none"/>
              </w:rPr>
              <w:t>联系人：</w:t>
            </w:r>
            <w:r>
              <w:rPr>
                <w:rFonts w:hint="eastAsia" w:ascii="黑体" w:hAnsi="黑体" w:eastAsia="黑体"/>
                <w:color w:val="auto"/>
                <w:szCs w:val="21"/>
                <w:highlight w:val="none"/>
                <w:lang w:val="en-US" w:eastAsia="zh-CN"/>
              </w:rPr>
              <w:t>刘小姐</w:t>
            </w:r>
            <w:r>
              <w:rPr>
                <w:rFonts w:hint="eastAsia" w:ascii="黑体" w:hAnsi="黑体" w:eastAsia="黑体"/>
                <w:color w:val="auto"/>
                <w:szCs w:val="21"/>
                <w:highlight w:val="none"/>
              </w:rPr>
              <w:t>：0769-</w:t>
            </w:r>
            <w:r>
              <w:rPr>
                <w:rFonts w:hint="eastAsia" w:ascii="黑体" w:hAnsi="黑体" w:eastAsia="黑体"/>
                <w:color w:val="auto"/>
                <w:szCs w:val="21"/>
                <w:highlight w:val="none"/>
                <w:lang w:val="en-US" w:eastAsia="zh-CN"/>
              </w:rPr>
              <w:t>22898351</w:t>
            </w:r>
            <w:r>
              <w:rPr>
                <w:rFonts w:hint="eastAsia" w:ascii="黑体" w:hAnsi="黑体" w:eastAsia="黑体"/>
                <w:color w:val="auto"/>
                <w:szCs w:val="21"/>
                <w:highlight w:val="none"/>
              </w:rPr>
              <w:t xml:space="preserve"> </w:t>
            </w:r>
          </w:p>
          <w:p w14:paraId="63D2483C">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hint="eastAsia" w:ascii="黑体" w:hAnsi="黑体" w:eastAsia="黑体"/>
                <w:color w:val="auto"/>
                <w:szCs w:val="21"/>
                <w:highlight w:val="none"/>
                <w:lang w:eastAsia="zh-CN"/>
              </w:rPr>
            </w:pPr>
            <w:r>
              <w:rPr>
                <w:rFonts w:hint="eastAsia" w:ascii="黑体" w:hAnsi="黑体" w:eastAsia="黑体"/>
                <w:color w:val="auto"/>
                <w:szCs w:val="21"/>
                <w:highlight w:val="none"/>
              </w:rPr>
              <w:t>联系地址：</w:t>
            </w:r>
            <w:r>
              <w:rPr>
                <w:rFonts w:hint="eastAsia" w:ascii="黑体" w:hAnsi="黑体" w:eastAsia="黑体"/>
                <w:color w:val="auto"/>
                <w:szCs w:val="21"/>
                <w:highlight w:val="none"/>
                <w:lang w:eastAsia="zh-CN"/>
              </w:rPr>
              <w:t>东莞松山湖创新科技园12栋7楼</w:t>
            </w:r>
          </w:p>
        </w:tc>
      </w:tr>
      <w:tr w14:paraId="330994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95395D8">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color w:val="auto"/>
                <w:szCs w:val="21"/>
                <w:highlight w:val="none"/>
              </w:rPr>
            </w:pPr>
            <w:r>
              <w:rPr>
                <w:rFonts w:hint="eastAsia" w:ascii="黑体" w:hAnsi="黑体" w:eastAsia="黑体"/>
                <w:color w:val="auto"/>
                <w:szCs w:val="21"/>
                <w:highlight w:val="none"/>
              </w:rPr>
              <w:t xml:space="preserve">二 </w:t>
            </w:r>
            <w:r>
              <w:rPr>
                <w:rFonts w:hint="eastAsia" w:ascii="黑体" w:hAnsi="黑体" w:eastAsia="黑体"/>
                <w:bCs/>
                <w:color w:val="auto"/>
                <w:szCs w:val="21"/>
                <w:highlight w:val="none"/>
              </w:rPr>
              <w:t>现场考察</w:t>
            </w:r>
          </w:p>
        </w:tc>
      </w:tr>
      <w:tr w14:paraId="6AB43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AD87CF3">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color w:val="auto"/>
                <w:szCs w:val="21"/>
                <w:highlight w:val="none"/>
              </w:rPr>
            </w:pPr>
            <w:r>
              <w:rPr>
                <w:rFonts w:hint="eastAsia" w:ascii="黑体" w:hAnsi="黑体" w:eastAsia="黑体"/>
                <w:bCs/>
                <w:color w:val="auto"/>
                <w:szCs w:val="21"/>
                <w:highlight w:val="none"/>
                <w:lang w:eastAsia="zh-CN"/>
              </w:rPr>
              <w:t>无须</w:t>
            </w:r>
            <w:r>
              <w:rPr>
                <w:rFonts w:hint="eastAsia" w:ascii="黑体" w:hAnsi="黑体" w:eastAsia="黑体"/>
                <w:bCs/>
                <w:color w:val="auto"/>
                <w:szCs w:val="21"/>
                <w:highlight w:val="none"/>
              </w:rPr>
              <w:t>勘察</w:t>
            </w:r>
          </w:p>
        </w:tc>
      </w:tr>
      <w:tr w14:paraId="553C9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5D18A83">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bCs/>
                <w:color w:val="auto"/>
                <w:szCs w:val="21"/>
                <w:highlight w:val="none"/>
              </w:rPr>
            </w:pPr>
            <w:r>
              <w:rPr>
                <w:rFonts w:hint="eastAsia" w:ascii="黑体" w:hAnsi="黑体" w:eastAsia="黑体"/>
                <w:bCs/>
                <w:color w:val="auto"/>
                <w:szCs w:val="21"/>
                <w:highlight w:val="none"/>
              </w:rPr>
              <w:t>三 招标文件的编制</w:t>
            </w:r>
          </w:p>
        </w:tc>
      </w:tr>
      <w:tr w14:paraId="5CCE8A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41BF8FD">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bCs/>
                <w:color w:val="auto"/>
                <w:szCs w:val="21"/>
                <w:highlight w:val="none"/>
              </w:rPr>
            </w:pPr>
            <w:r>
              <w:rPr>
                <w:rFonts w:hint="eastAsia" w:ascii="黑体" w:hAnsi="黑体" w:eastAsia="黑体"/>
                <w:bCs/>
                <w:color w:val="auto"/>
                <w:szCs w:val="21"/>
                <w:highlight w:val="none"/>
                <w:lang w:val="zh-CN"/>
              </w:rPr>
              <w:t>投标人所报的</w:t>
            </w:r>
            <w:r>
              <w:rPr>
                <w:rFonts w:hint="eastAsia" w:ascii="黑体" w:hAnsi="黑体" w:eastAsia="黑体"/>
                <w:bCs/>
                <w:color w:val="auto"/>
                <w:szCs w:val="21"/>
                <w:highlight w:val="none"/>
                <w:lang w:val="zh-CN" w:eastAsia="zh-CN"/>
              </w:rPr>
              <w:t>定期存款</w:t>
            </w:r>
            <w:r>
              <w:rPr>
                <w:rFonts w:hint="eastAsia" w:ascii="黑体" w:hAnsi="黑体" w:eastAsia="黑体"/>
                <w:bCs/>
                <w:color w:val="auto"/>
                <w:szCs w:val="21"/>
                <w:highlight w:val="none"/>
                <w:lang w:val="zh-CN"/>
              </w:rPr>
              <w:t>利率在合同执行过程中，</w:t>
            </w:r>
            <w:r>
              <w:rPr>
                <w:rFonts w:hint="eastAsia" w:ascii="黑体" w:hAnsi="黑体" w:eastAsia="黑体"/>
                <w:bCs/>
                <w:color w:val="auto"/>
                <w:szCs w:val="21"/>
                <w:highlight w:val="none"/>
                <w:lang w:val="zh-CN" w:eastAsia="zh-CN"/>
              </w:rPr>
              <w:t>非政策原因，不得低于投标时所报的BP数值。</w:t>
            </w:r>
          </w:p>
        </w:tc>
      </w:tr>
      <w:tr w14:paraId="0484A0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9E67C1D">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bCs/>
                <w:color w:val="auto"/>
                <w:szCs w:val="21"/>
                <w:highlight w:val="none"/>
              </w:rPr>
            </w:pPr>
            <w:r>
              <w:rPr>
                <w:rFonts w:hint="eastAsia" w:ascii="黑体" w:hAnsi="黑体" w:eastAsia="黑体"/>
                <w:bCs/>
                <w:color w:val="auto"/>
                <w:szCs w:val="21"/>
                <w:highlight w:val="none"/>
              </w:rPr>
              <w:t>不允许有备选方案</w:t>
            </w:r>
          </w:p>
        </w:tc>
      </w:tr>
      <w:tr w14:paraId="0E525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4B582BBE">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bCs/>
                <w:color w:val="auto"/>
                <w:szCs w:val="21"/>
                <w:highlight w:val="none"/>
              </w:rPr>
            </w:pPr>
            <w:r>
              <w:rPr>
                <w:rFonts w:hint="eastAsia" w:ascii="黑体" w:hAnsi="黑体" w:eastAsia="黑体"/>
                <w:bCs/>
                <w:color w:val="auto"/>
                <w:szCs w:val="21"/>
                <w:highlight w:val="none"/>
              </w:rPr>
              <w:t>不允许附加条件报价</w:t>
            </w:r>
          </w:p>
        </w:tc>
      </w:tr>
      <w:tr w14:paraId="561ED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0FB5276">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bCs/>
                <w:color w:val="auto"/>
                <w:szCs w:val="21"/>
                <w:highlight w:val="none"/>
                <w:lang w:val="zh-CN"/>
              </w:rPr>
            </w:pPr>
            <w:r>
              <w:rPr>
                <w:rFonts w:hint="eastAsia" w:ascii="黑体" w:hAnsi="黑体" w:eastAsia="黑体"/>
                <w:bCs/>
                <w:color w:val="auto"/>
                <w:szCs w:val="21"/>
                <w:highlight w:val="none"/>
                <w:lang w:val="zh-CN"/>
              </w:rPr>
              <w:t>投标有效期：递交投标文件截止日后 90 天</w:t>
            </w:r>
          </w:p>
        </w:tc>
      </w:tr>
      <w:tr w14:paraId="159ABF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E62C7AB">
            <w:pPr>
              <w:keepNext w:val="0"/>
              <w:keepLines w:val="0"/>
              <w:pageBreakBefore w:val="0"/>
              <w:widowControl w:val="0"/>
              <w:kinsoku/>
              <w:wordWrap/>
              <w:overflowPunct/>
              <w:topLinePunct w:val="0"/>
              <w:autoSpaceDE/>
              <w:autoSpaceDN/>
              <w:bidi w:val="0"/>
              <w:adjustRightInd/>
              <w:snapToGrid/>
              <w:spacing w:line="240" w:lineRule="atLeast"/>
              <w:ind w:right="-183"/>
              <w:textAlignment w:val="auto"/>
              <w:rPr>
                <w:rFonts w:ascii="黑体" w:hAnsi="黑体" w:eastAsia="黑体"/>
                <w:bCs/>
                <w:color w:val="auto"/>
                <w:szCs w:val="21"/>
                <w:highlight w:val="none"/>
                <w:lang w:val="zh-CN"/>
              </w:rPr>
            </w:pPr>
            <w:r>
              <w:rPr>
                <w:rFonts w:hint="eastAsia" w:ascii="黑体" w:hAnsi="黑体" w:eastAsia="黑体"/>
                <w:bCs/>
                <w:color w:val="auto"/>
                <w:szCs w:val="21"/>
                <w:highlight w:val="none"/>
                <w:lang w:val="zh-CN"/>
              </w:rPr>
              <w:t>投标文件份数：正本一份（商务技术文件），副本五份（商务技术文件），电子文件一份，唱标信封一个。</w:t>
            </w:r>
          </w:p>
        </w:tc>
      </w:tr>
      <w:tr w14:paraId="496331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303E89D">
            <w:pPr>
              <w:keepNext w:val="0"/>
              <w:keepLines w:val="0"/>
              <w:pageBreakBefore w:val="0"/>
              <w:widowControl w:val="0"/>
              <w:kinsoku/>
              <w:wordWrap/>
              <w:overflowPunct/>
              <w:topLinePunct w:val="0"/>
              <w:autoSpaceDE/>
              <w:autoSpaceDN/>
              <w:bidi w:val="0"/>
              <w:adjustRightInd/>
              <w:snapToGrid/>
              <w:spacing w:line="240" w:lineRule="atLeast"/>
              <w:ind w:right="-4"/>
              <w:textAlignment w:val="auto"/>
              <w:rPr>
                <w:rFonts w:ascii="黑体" w:hAnsi="黑体" w:eastAsia="黑体"/>
                <w:color w:val="auto"/>
                <w:szCs w:val="21"/>
                <w:highlight w:val="none"/>
                <w:lang w:val="zh-CN"/>
              </w:rPr>
            </w:pPr>
            <w:r>
              <w:rPr>
                <w:rFonts w:hint="eastAsia" w:ascii="黑体" w:hAnsi="黑体" w:eastAsia="黑体"/>
                <w:color w:val="auto"/>
                <w:szCs w:val="21"/>
                <w:highlight w:val="none"/>
                <w:lang w:val="zh-CN"/>
              </w:rPr>
              <w:t>五 开标与评标准则</w:t>
            </w:r>
          </w:p>
        </w:tc>
      </w:tr>
      <w:tr w14:paraId="7E4EC9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9102D12">
            <w:pPr>
              <w:keepNext w:val="0"/>
              <w:keepLines w:val="0"/>
              <w:pageBreakBefore w:val="0"/>
              <w:widowControl w:val="0"/>
              <w:kinsoku/>
              <w:wordWrap/>
              <w:overflowPunct/>
              <w:topLinePunct w:val="0"/>
              <w:autoSpaceDE/>
              <w:autoSpaceDN/>
              <w:bidi w:val="0"/>
              <w:adjustRightInd/>
              <w:snapToGrid/>
              <w:spacing w:line="240" w:lineRule="atLeast"/>
              <w:ind w:right="-4"/>
              <w:textAlignment w:val="auto"/>
              <w:rPr>
                <w:rFonts w:ascii="黑体" w:hAnsi="黑体" w:eastAsia="黑体"/>
                <w:color w:val="auto"/>
                <w:szCs w:val="21"/>
                <w:highlight w:val="none"/>
                <w:lang w:val="zh-CN"/>
              </w:rPr>
            </w:pPr>
            <w:r>
              <w:rPr>
                <w:rFonts w:hint="eastAsia" w:ascii="黑体" w:hAnsi="黑体" w:eastAsia="黑体"/>
                <w:color w:val="auto"/>
                <w:szCs w:val="21"/>
                <w:highlight w:val="none"/>
                <w:lang w:val="zh-CN"/>
              </w:rPr>
              <w:t>评标方法：采用综合评分法，详见第五部分。</w:t>
            </w:r>
          </w:p>
        </w:tc>
      </w:tr>
      <w:tr w14:paraId="4655D6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7F6A4D8">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ascii="黑体" w:hAnsi="黑体" w:eastAsia="黑体"/>
                <w:color w:val="auto"/>
                <w:szCs w:val="21"/>
                <w:highlight w:val="none"/>
                <w:lang w:val="zh-CN"/>
              </w:rPr>
            </w:pPr>
            <w:r>
              <w:rPr>
                <w:rFonts w:hint="eastAsia" w:ascii="黑体" w:hAnsi="黑体" w:eastAsia="黑体"/>
                <w:color w:val="auto"/>
                <w:szCs w:val="21"/>
                <w:highlight w:val="none"/>
                <w:lang w:val="zh-CN"/>
              </w:rPr>
              <w:t>六 授予合同</w:t>
            </w:r>
          </w:p>
        </w:tc>
      </w:tr>
      <w:tr w14:paraId="060117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630E4CD2">
            <w:pPr>
              <w:keepNext w:val="0"/>
              <w:keepLines w:val="0"/>
              <w:pageBreakBefore w:val="0"/>
              <w:widowControl w:val="0"/>
              <w:kinsoku/>
              <w:wordWrap/>
              <w:overflowPunct/>
              <w:topLinePunct w:val="0"/>
              <w:autoSpaceDE/>
              <w:autoSpaceDN/>
              <w:bidi w:val="0"/>
              <w:adjustRightInd/>
              <w:snapToGrid/>
              <w:spacing w:line="240" w:lineRule="atLeast"/>
              <w:ind w:right="-4"/>
              <w:textAlignment w:val="auto"/>
              <w:rPr>
                <w:rFonts w:ascii="黑体" w:hAnsi="黑体" w:eastAsia="黑体"/>
                <w:color w:val="auto"/>
                <w:szCs w:val="21"/>
                <w:highlight w:val="none"/>
                <w:lang w:val="zh-CN"/>
              </w:rPr>
            </w:pPr>
            <w:r>
              <w:rPr>
                <w:rFonts w:hint="eastAsia" w:ascii="黑体" w:hAnsi="黑体" w:eastAsia="黑体"/>
                <w:color w:val="auto"/>
                <w:szCs w:val="21"/>
                <w:highlight w:val="none"/>
                <w:lang w:val="zh-CN"/>
              </w:rPr>
              <w:t>合同签订时间：自《中标通知书》发出之日起三十日内</w:t>
            </w:r>
          </w:p>
        </w:tc>
      </w:tr>
      <w:tr w14:paraId="20850E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765B77B3">
            <w:pPr>
              <w:keepNext w:val="0"/>
              <w:keepLines w:val="0"/>
              <w:pageBreakBefore w:val="0"/>
              <w:widowControl w:val="0"/>
              <w:kinsoku/>
              <w:wordWrap/>
              <w:overflowPunct/>
              <w:topLinePunct w:val="0"/>
              <w:autoSpaceDE/>
              <w:autoSpaceDN/>
              <w:bidi w:val="0"/>
              <w:adjustRightInd/>
              <w:snapToGrid/>
              <w:spacing w:line="240" w:lineRule="atLeast"/>
              <w:ind w:right="-4"/>
              <w:textAlignment w:val="auto"/>
              <w:rPr>
                <w:rFonts w:ascii="黑体" w:hAnsi="黑体" w:eastAsia="黑体"/>
                <w:bCs/>
                <w:color w:val="auto"/>
                <w:szCs w:val="21"/>
                <w:highlight w:val="none"/>
              </w:rPr>
            </w:pPr>
            <w:r>
              <w:rPr>
                <w:rFonts w:hint="eastAsia" w:ascii="黑体" w:hAnsi="黑体" w:eastAsia="黑体"/>
                <w:bCs/>
                <w:color w:val="auto"/>
                <w:szCs w:val="21"/>
                <w:highlight w:val="none"/>
              </w:rPr>
              <w:t>本项目类型为：</w:t>
            </w:r>
            <w:r>
              <w:rPr>
                <w:rFonts w:hint="eastAsia" w:ascii="黑体" w:hAnsi="黑体" w:eastAsia="黑体"/>
                <w:bCs/>
                <w:color w:val="auto"/>
                <w:szCs w:val="21"/>
                <w:highlight w:val="none"/>
                <w:u w:val="single"/>
              </w:rPr>
              <w:t xml:space="preserve">  服务类  </w:t>
            </w:r>
            <w:r>
              <w:rPr>
                <w:rFonts w:hint="eastAsia" w:ascii="黑体" w:hAnsi="黑体" w:eastAsia="黑体"/>
                <w:bCs/>
                <w:color w:val="auto"/>
                <w:szCs w:val="21"/>
                <w:highlight w:val="none"/>
              </w:rPr>
              <w:t>。</w:t>
            </w:r>
          </w:p>
        </w:tc>
      </w:tr>
      <w:tr w14:paraId="4CCFA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04A742B">
            <w:pPr>
              <w:keepNext w:val="0"/>
              <w:keepLines w:val="0"/>
              <w:pageBreakBefore w:val="0"/>
              <w:widowControl w:val="0"/>
              <w:kinsoku/>
              <w:wordWrap/>
              <w:overflowPunct/>
              <w:topLinePunct w:val="0"/>
              <w:autoSpaceDE/>
              <w:autoSpaceDN/>
              <w:bidi w:val="0"/>
              <w:adjustRightInd/>
              <w:snapToGrid/>
              <w:spacing w:line="240" w:lineRule="atLeast"/>
              <w:ind w:right="-4"/>
              <w:textAlignment w:val="auto"/>
              <w:rPr>
                <w:rFonts w:ascii="黑体" w:hAnsi="黑体" w:eastAsia="黑体"/>
                <w:color w:val="auto"/>
                <w:szCs w:val="21"/>
                <w:highlight w:val="none"/>
                <w:lang w:val="zh-CN"/>
              </w:rPr>
            </w:pPr>
            <w:r>
              <w:rPr>
                <w:rFonts w:hint="eastAsia" w:ascii="黑体" w:hAnsi="黑体" w:eastAsia="黑体"/>
                <w:color w:val="auto"/>
                <w:szCs w:val="21"/>
                <w:highlight w:val="none"/>
                <w:lang w:val="zh-CN"/>
              </w:rPr>
              <w:t>第六部分《合同书格式》仅供参考，合同具体细则以采购人及中标人双方协定为准。</w:t>
            </w:r>
          </w:p>
        </w:tc>
      </w:tr>
      <w:tr w14:paraId="383315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1B2566AB">
            <w:pPr>
              <w:keepNext w:val="0"/>
              <w:keepLines w:val="0"/>
              <w:pageBreakBefore w:val="0"/>
              <w:widowControl w:val="0"/>
              <w:kinsoku/>
              <w:wordWrap/>
              <w:overflowPunct/>
              <w:topLinePunct w:val="0"/>
              <w:autoSpaceDE/>
              <w:autoSpaceDN/>
              <w:bidi w:val="0"/>
              <w:adjustRightInd/>
              <w:snapToGrid/>
              <w:spacing w:line="240" w:lineRule="atLeast"/>
              <w:ind w:right="-4"/>
              <w:textAlignment w:val="auto"/>
              <w:rPr>
                <w:rFonts w:hint="default" w:ascii="黑体" w:hAnsi="黑体" w:eastAsia="黑体"/>
                <w:color w:val="auto"/>
                <w:szCs w:val="21"/>
                <w:highlight w:val="none"/>
                <w:lang w:val="en-US" w:eastAsia="zh-CN"/>
              </w:rPr>
            </w:pPr>
            <w:bookmarkStart w:id="12" w:name="_Toc405313954"/>
            <w:bookmarkStart w:id="13" w:name="_Toc23715268"/>
            <w:bookmarkStart w:id="14" w:name="_Toc391627750"/>
            <w:r>
              <w:rPr>
                <w:rFonts w:hint="eastAsia" w:ascii="黑体" w:hAnsi="黑体" w:eastAsia="黑体" w:cs="Times New Roman"/>
                <w:b/>
                <w:bCs/>
                <w:color w:val="auto"/>
                <w:szCs w:val="21"/>
                <w:highlight w:val="none"/>
                <w:lang w:val="en-US" w:eastAsia="zh-CN"/>
              </w:rPr>
              <w:t xml:space="preserve">七 </w:t>
            </w:r>
            <w:r>
              <w:rPr>
                <w:rFonts w:hint="eastAsia" w:ascii="黑体" w:hAnsi="黑体" w:eastAsia="黑体" w:cs="Times New Roman"/>
                <w:b/>
                <w:bCs/>
                <w:color w:val="auto"/>
                <w:szCs w:val="21"/>
                <w:highlight w:val="none"/>
                <w:lang w:val="zh-CN"/>
              </w:rPr>
              <w:t>盖章要求</w:t>
            </w:r>
          </w:p>
        </w:tc>
      </w:tr>
      <w:tr w14:paraId="191CED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6"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58C878E8">
            <w:pPr>
              <w:keepNext w:val="0"/>
              <w:keepLines w:val="0"/>
              <w:pageBreakBefore w:val="0"/>
              <w:widowControl w:val="0"/>
              <w:kinsoku/>
              <w:wordWrap/>
              <w:overflowPunct/>
              <w:topLinePunct w:val="0"/>
              <w:autoSpaceDE/>
              <w:autoSpaceDN/>
              <w:bidi w:val="0"/>
              <w:adjustRightInd/>
              <w:snapToGrid/>
              <w:spacing w:line="240" w:lineRule="atLeast"/>
              <w:ind w:right="-4"/>
              <w:textAlignment w:val="auto"/>
              <w:rPr>
                <w:rFonts w:hint="default" w:ascii="黑体" w:hAnsi="黑体" w:eastAsia="黑体"/>
                <w:color w:val="auto"/>
                <w:szCs w:val="21"/>
                <w:highlight w:val="none"/>
                <w:lang w:val="en-US" w:eastAsia="zh-CN"/>
              </w:rPr>
            </w:pPr>
            <w:bookmarkStart w:id="15" w:name="OLE_LINK5"/>
            <w:r>
              <w:rPr>
                <w:rFonts w:hint="eastAsia" w:ascii="黑体" w:hAnsi="黑体" w:eastAsia="黑体" w:cs="Times New Roman"/>
                <w:b/>
                <w:bCs/>
                <w:color w:val="auto"/>
                <w:szCs w:val="21"/>
                <w:highlight w:val="none"/>
                <w:lang w:val="en-US" w:eastAsia="zh-CN"/>
              </w:rPr>
              <w:t>投标人</w:t>
            </w:r>
            <w:r>
              <w:rPr>
                <w:rFonts w:hint="eastAsia" w:ascii="黑体" w:hAnsi="黑体" w:eastAsia="黑体" w:cs="Times New Roman"/>
                <w:b/>
                <w:bCs/>
                <w:color w:val="auto"/>
                <w:szCs w:val="21"/>
                <w:highlight w:val="none"/>
                <w:lang w:val="zh-CN"/>
              </w:rPr>
              <w:t>提交的资料应加盖</w:t>
            </w:r>
            <w:r>
              <w:rPr>
                <w:rFonts w:hint="eastAsia" w:ascii="黑体" w:hAnsi="黑体" w:eastAsia="黑体" w:cs="Times New Roman"/>
                <w:b/>
                <w:bCs/>
                <w:color w:val="auto"/>
                <w:szCs w:val="21"/>
                <w:highlight w:val="none"/>
                <w:lang w:val="en-US" w:eastAsia="zh-CN"/>
              </w:rPr>
              <w:t>东莞市</w:t>
            </w:r>
            <w:r>
              <w:rPr>
                <w:rFonts w:hint="eastAsia" w:ascii="黑体" w:hAnsi="黑体" w:eastAsia="黑体" w:cs="Times New Roman"/>
                <w:b/>
                <w:bCs/>
                <w:color w:val="auto"/>
                <w:szCs w:val="21"/>
                <w:highlight w:val="none"/>
                <w:lang w:val="zh-CN"/>
              </w:rPr>
              <w:t>分行公章。注册地位于</w:t>
            </w:r>
            <w:r>
              <w:rPr>
                <w:rFonts w:hint="eastAsia" w:ascii="黑体" w:hAnsi="黑体" w:eastAsia="黑体" w:cs="Times New Roman"/>
                <w:b/>
                <w:bCs/>
                <w:color w:val="auto"/>
                <w:szCs w:val="21"/>
                <w:highlight w:val="none"/>
                <w:lang w:val="en-US" w:eastAsia="zh-CN"/>
              </w:rPr>
              <w:t>东莞市</w:t>
            </w:r>
            <w:r>
              <w:rPr>
                <w:rFonts w:hint="eastAsia" w:ascii="黑体" w:hAnsi="黑体" w:eastAsia="黑体" w:cs="Times New Roman"/>
                <w:b/>
                <w:bCs/>
                <w:color w:val="auto"/>
                <w:szCs w:val="21"/>
                <w:highlight w:val="none"/>
                <w:lang w:val="zh-CN"/>
              </w:rPr>
              <w:t>的法人银行业金融机构，</w:t>
            </w:r>
            <w:r>
              <w:rPr>
                <w:rFonts w:hint="eastAsia" w:ascii="黑体" w:hAnsi="黑体" w:eastAsia="黑体" w:cs="Times New Roman"/>
                <w:b/>
                <w:bCs/>
                <w:color w:val="auto"/>
                <w:szCs w:val="21"/>
                <w:highlight w:val="none"/>
                <w:lang w:val="en-US" w:eastAsia="zh-CN"/>
              </w:rPr>
              <w:t>东莞市内</w:t>
            </w:r>
            <w:r>
              <w:rPr>
                <w:rFonts w:hint="eastAsia" w:ascii="黑体" w:hAnsi="黑体" w:eastAsia="黑体" w:cs="Times New Roman"/>
                <w:b/>
                <w:bCs/>
                <w:color w:val="auto"/>
                <w:szCs w:val="21"/>
                <w:highlight w:val="none"/>
                <w:lang w:val="zh-CN"/>
              </w:rPr>
              <w:t>未设立对应分行机构的，可加盖该银行总行公章或松山湖辖内支行公章。上述情形</w:t>
            </w:r>
            <w:r>
              <w:rPr>
                <w:rFonts w:hint="eastAsia" w:ascii="黑体" w:hAnsi="黑体" w:eastAsia="黑体" w:cs="Times New Roman"/>
                <w:b/>
                <w:bCs/>
                <w:color w:val="auto"/>
                <w:szCs w:val="21"/>
                <w:highlight w:val="none"/>
                <w:lang w:val="en-US" w:eastAsia="zh-CN"/>
              </w:rPr>
              <w:t>需</w:t>
            </w:r>
            <w:r>
              <w:rPr>
                <w:rFonts w:hint="eastAsia" w:ascii="黑体" w:hAnsi="黑体" w:eastAsia="黑体" w:cs="Times New Roman"/>
                <w:b/>
                <w:bCs/>
                <w:color w:val="auto"/>
                <w:szCs w:val="21"/>
                <w:highlight w:val="none"/>
                <w:lang w:val="zh-CN"/>
              </w:rPr>
              <w:t>附银行机构设置情况说明，所盖印章均视为有效。</w:t>
            </w:r>
            <w:bookmarkEnd w:id="15"/>
          </w:p>
        </w:tc>
      </w:tr>
    </w:tbl>
    <w:p w14:paraId="798534C9">
      <w:pPr>
        <w:pStyle w:val="2"/>
        <w:pageBreakBefore/>
        <w:spacing w:line="360" w:lineRule="auto"/>
        <w:jc w:val="center"/>
        <w:rPr>
          <w:rFonts w:ascii="黑体" w:hAnsi="黑体" w:eastAsia="黑体"/>
          <w:color w:val="auto"/>
          <w:spacing w:val="20"/>
          <w:sz w:val="32"/>
          <w:szCs w:val="32"/>
          <w:highlight w:val="none"/>
        </w:rPr>
      </w:pPr>
      <w:r>
        <w:rPr>
          <w:rFonts w:hint="eastAsia" w:ascii="黑体" w:hAnsi="黑体" w:eastAsia="黑体"/>
          <w:color w:val="auto"/>
          <w:spacing w:val="20"/>
          <w:sz w:val="32"/>
          <w:szCs w:val="32"/>
          <w:highlight w:val="none"/>
        </w:rPr>
        <w:t>第四部分 投标须知</w:t>
      </w:r>
      <w:bookmarkEnd w:id="12"/>
      <w:bookmarkEnd w:id="13"/>
      <w:bookmarkEnd w:id="14"/>
    </w:p>
    <w:p w14:paraId="386237EC">
      <w:pPr>
        <w:pStyle w:val="32"/>
        <w:numPr>
          <w:ilvl w:val="0"/>
          <w:numId w:val="10"/>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总则说明</w:t>
      </w:r>
    </w:p>
    <w:p w14:paraId="188BB561">
      <w:pPr>
        <w:pStyle w:val="32"/>
        <w:numPr>
          <w:ilvl w:val="0"/>
          <w:numId w:val="11"/>
        </w:numPr>
        <w:spacing w:line="360" w:lineRule="auto"/>
        <w:ind w:firstLineChars="0"/>
        <w:rPr>
          <w:rFonts w:ascii="黑体" w:hAnsi="黑体" w:eastAsia="黑体"/>
          <w:b/>
          <w:color w:val="auto"/>
          <w:highlight w:val="none"/>
        </w:rPr>
      </w:pPr>
      <w:r>
        <w:rPr>
          <w:rFonts w:hint="eastAsia" w:ascii="黑体" w:hAnsi="黑体" w:eastAsia="黑体"/>
          <w:b/>
          <w:color w:val="auto"/>
          <w:highlight w:val="none"/>
        </w:rPr>
        <w:t>适用范围</w:t>
      </w:r>
    </w:p>
    <w:p w14:paraId="3E4AD2EE">
      <w:pPr>
        <w:pStyle w:val="32"/>
        <w:spacing w:line="360" w:lineRule="auto"/>
        <w:ind w:left="420" w:firstLine="0" w:firstLineChars="0"/>
        <w:rPr>
          <w:rFonts w:ascii="黑体" w:hAnsi="黑体" w:eastAsia="黑体"/>
          <w:color w:val="auto"/>
          <w:highlight w:val="none"/>
        </w:rPr>
      </w:pPr>
      <w:r>
        <w:rPr>
          <w:rFonts w:hint="eastAsia" w:ascii="黑体" w:hAnsi="黑体" w:eastAsia="黑体"/>
          <w:color w:val="auto"/>
          <w:highlight w:val="none"/>
        </w:rPr>
        <w:t>本招标文件适用于本投标邀请中所述项目的采购。</w:t>
      </w:r>
    </w:p>
    <w:p w14:paraId="0CE8516E">
      <w:pPr>
        <w:pStyle w:val="32"/>
        <w:numPr>
          <w:ilvl w:val="0"/>
          <w:numId w:val="11"/>
        </w:numPr>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定义</w:t>
      </w:r>
    </w:p>
    <w:p w14:paraId="3FDAA459">
      <w:pPr>
        <w:pStyle w:val="32"/>
        <w:numPr>
          <w:ilvl w:val="0"/>
          <w:numId w:val="12"/>
        </w:numPr>
        <w:spacing w:line="360" w:lineRule="auto"/>
        <w:ind w:firstLineChars="0"/>
        <w:rPr>
          <w:rFonts w:ascii="黑体" w:hAnsi="黑体" w:eastAsia="黑体"/>
          <w:color w:val="auto"/>
          <w:highlight w:val="none"/>
        </w:rPr>
      </w:pPr>
      <w:r>
        <w:rPr>
          <w:rFonts w:ascii="黑体" w:hAnsi="黑体" w:eastAsia="黑体"/>
          <w:color w:val="auto"/>
          <w:highlight w:val="none"/>
        </w:rPr>
        <w:t>“采购人”是指：</w:t>
      </w:r>
      <w:r>
        <w:rPr>
          <w:rFonts w:hint="eastAsia" w:ascii="黑体" w:hAnsi="黑体" w:eastAsia="黑体"/>
          <w:color w:val="auto"/>
          <w:szCs w:val="21"/>
          <w:highlight w:val="none"/>
          <w:lang w:eastAsia="zh-CN"/>
        </w:rPr>
        <w:t>东莞松山湖高新技术产业开发区管理委员会</w:t>
      </w:r>
      <w:r>
        <w:rPr>
          <w:rFonts w:hint="eastAsia" w:ascii="黑体" w:hAnsi="黑体" w:eastAsia="黑体"/>
          <w:color w:val="auto"/>
          <w:highlight w:val="none"/>
        </w:rPr>
        <w:t>；</w:t>
      </w:r>
    </w:p>
    <w:p w14:paraId="06F150B5">
      <w:pPr>
        <w:pStyle w:val="32"/>
        <w:numPr>
          <w:ilvl w:val="0"/>
          <w:numId w:val="12"/>
        </w:numPr>
        <w:spacing w:line="360" w:lineRule="auto"/>
        <w:ind w:firstLineChars="0"/>
        <w:rPr>
          <w:rFonts w:ascii="黑体" w:hAnsi="黑体" w:eastAsia="黑体"/>
          <w:color w:val="auto"/>
          <w:highlight w:val="none"/>
        </w:rPr>
      </w:pPr>
      <w:r>
        <w:rPr>
          <w:rFonts w:ascii="黑体" w:hAnsi="黑体" w:eastAsia="黑体"/>
          <w:color w:val="auto"/>
          <w:highlight w:val="none"/>
        </w:rPr>
        <w:t>“合格的投标人”</w:t>
      </w:r>
      <w:r>
        <w:rPr>
          <w:rFonts w:hint="eastAsia" w:ascii="黑体" w:hAnsi="黑体" w:eastAsia="黑体"/>
          <w:color w:val="auto"/>
          <w:highlight w:val="none"/>
        </w:rPr>
        <w:t>是指：</w:t>
      </w:r>
      <w:r>
        <w:rPr>
          <w:rFonts w:ascii="黑体" w:hAnsi="黑体" w:eastAsia="黑体"/>
          <w:color w:val="auto"/>
          <w:highlight w:val="none"/>
        </w:rPr>
        <w:t>符合招标文件规定的资格要求</w:t>
      </w:r>
      <w:r>
        <w:rPr>
          <w:rFonts w:hint="eastAsia" w:ascii="黑体" w:hAnsi="黑体" w:eastAsia="黑体"/>
          <w:color w:val="auto"/>
          <w:highlight w:val="none"/>
        </w:rPr>
        <w:t>及特殊条件要求的银行。</w:t>
      </w:r>
    </w:p>
    <w:p w14:paraId="5BB27089">
      <w:pPr>
        <w:pStyle w:val="32"/>
        <w:numPr>
          <w:ilvl w:val="0"/>
          <w:numId w:val="12"/>
        </w:numPr>
        <w:spacing w:line="360" w:lineRule="auto"/>
        <w:ind w:firstLineChars="0"/>
        <w:rPr>
          <w:rFonts w:ascii="黑体" w:hAnsi="黑体" w:eastAsia="黑体"/>
          <w:color w:val="auto"/>
          <w:highlight w:val="none"/>
        </w:rPr>
      </w:pPr>
      <w:r>
        <w:rPr>
          <w:rFonts w:ascii="黑体" w:hAnsi="黑体" w:eastAsia="黑体"/>
          <w:color w:val="auto"/>
          <w:highlight w:val="none"/>
        </w:rPr>
        <w:t>“</w:t>
      </w:r>
      <w:r>
        <w:rPr>
          <w:rFonts w:hint="eastAsia" w:ascii="黑体" w:hAnsi="黑体" w:eastAsia="黑体"/>
          <w:color w:val="auto"/>
          <w:highlight w:val="none"/>
        </w:rPr>
        <w:t>中标人</w:t>
      </w:r>
      <w:r>
        <w:rPr>
          <w:rFonts w:ascii="黑体" w:hAnsi="黑体" w:eastAsia="黑体"/>
          <w:color w:val="auto"/>
          <w:highlight w:val="none"/>
        </w:rPr>
        <w:t>”是指经</w:t>
      </w:r>
      <w:r>
        <w:rPr>
          <w:rFonts w:hint="eastAsia" w:ascii="黑体" w:hAnsi="黑体" w:eastAsia="黑体"/>
          <w:color w:val="auto"/>
          <w:highlight w:val="none"/>
        </w:rPr>
        <w:t>法定程序确定</w:t>
      </w:r>
      <w:r>
        <w:rPr>
          <w:rFonts w:ascii="黑体" w:hAnsi="黑体" w:eastAsia="黑体"/>
          <w:color w:val="auto"/>
          <w:highlight w:val="none"/>
        </w:rPr>
        <w:t>并</w:t>
      </w:r>
      <w:r>
        <w:rPr>
          <w:rFonts w:hint="eastAsia" w:ascii="黑体" w:hAnsi="黑体" w:eastAsia="黑体"/>
          <w:color w:val="auto"/>
          <w:highlight w:val="none"/>
        </w:rPr>
        <w:t>授予</w:t>
      </w:r>
      <w:r>
        <w:rPr>
          <w:rFonts w:ascii="黑体" w:hAnsi="黑体" w:eastAsia="黑体"/>
          <w:color w:val="auto"/>
          <w:highlight w:val="none"/>
        </w:rPr>
        <w:t>合同的投标人</w:t>
      </w:r>
      <w:r>
        <w:rPr>
          <w:rFonts w:hint="eastAsia" w:ascii="黑体" w:hAnsi="黑体" w:eastAsia="黑体"/>
          <w:color w:val="auto"/>
          <w:highlight w:val="none"/>
        </w:rPr>
        <w:t>。</w:t>
      </w:r>
    </w:p>
    <w:p w14:paraId="5DB68D06">
      <w:pPr>
        <w:pStyle w:val="32"/>
        <w:numPr>
          <w:ilvl w:val="0"/>
          <w:numId w:val="11"/>
        </w:numPr>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合格的货物和服务</w:t>
      </w:r>
    </w:p>
    <w:p w14:paraId="3256EEFF">
      <w:pPr>
        <w:pStyle w:val="32"/>
        <w:numPr>
          <w:ilvl w:val="0"/>
          <w:numId w:val="13"/>
        </w:numPr>
        <w:spacing w:line="360" w:lineRule="auto"/>
        <w:ind w:firstLineChars="0"/>
        <w:rPr>
          <w:rFonts w:ascii="黑体" w:hAnsi="黑体" w:eastAsia="黑体"/>
          <w:bCs/>
          <w:color w:val="auto"/>
          <w:szCs w:val="21"/>
          <w:highlight w:val="none"/>
        </w:rPr>
      </w:pPr>
      <w:r>
        <w:rPr>
          <w:rFonts w:ascii="黑体" w:hAnsi="黑体" w:eastAsia="黑体"/>
          <w:bCs/>
          <w:color w:val="auto"/>
          <w:szCs w:val="21"/>
          <w:highlight w:val="none"/>
        </w:rPr>
        <w:t>“</w:t>
      </w:r>
      <w:r>
        <w:rPr>
          <w:rFonts w:hint="eastAsia" w:ascii="黑体" w:hAnsi="黑体" w:eastAsia="黑体"/>
          <w:bCs/>
          <w:color w:val="auto"/>
          <w:szCs w:val="21"/>
          <w:highlight w:val="none"/>
        </w:rPr>
        <w:t>货物</w:t>
      </w:r>
      <w:r>
        <w:rPr>
          <w:rFonts w:ascii="黑体" w:hAnsi="黑体" w:eastAsia="黑体"/>
          <w:bCs/>
          <w:color w:val="auto"/>
          <w:szCs w:val="21"/>
          <w:highlight w:val="none"/>
        </w:rPr>
        <w:t>”</w:t>
      </w:r>
      <w:r>
        <w:rPr>
          <w:rFonts w:hint="eastAsia" w:ascii="黑体" w:hAnsi="黑体" w:eastAsia="黑体"/>
          <w:bCs/>
          <w:color w:val="auto"/>
          <w:szCs w:val="21"/>
          <w:highlight w:val="none"/>
        </w:rPr>
        <w:t>是指投标人制造或组织符合招标文件要求的货物等。投标的货物必须是其合法生产、合法来源的符合国家有关标准要求的货物，并满足招标文件规定的规格、参数、质量、价格、有效期、售后服务等要求；</w:t>
      </w:r>
    </w:p>
    <w:p w14:paraId="265670DB">
      <w:pPr>
        <w:pStyle w:val="32"/>
        <w:numPr>
          <w:ilvl w:val="0"/>
          <w:numId w:val="13"/>
        </w:numPr>
        <w:spacing w:line="360" w:lineRule="auto"/>
        <w:ind w:firstLineChars="0"/>
        <w:rPr>
          <w:rFonts w:ascii="黑体" w:hAnsi="黑体" w:eastAsia="黑体"/>
          <w:bCs/>
          <w:color w:val="auto"/>
          <w:szCs w:val="21"/>
          <w:highlight w:val="none"/>
        </w:rPr>
      </w:pPr>
      <w:r>
        <w:rPr>
          <w:rFonts w:ascii="黑体" w:hAnsi="黑体" w:eastAsia="黑体"/>
          <w:bCs/>
          <w:color w:val="auto"/>
          <w:szCs w:val="21"/>
          <w:highlight w:val="none"/>
        </w:rPr>
        <w:t>“</w:t>
      </w:r>
      <w:r>
        <w:rPr>
          <w:rFonts w:hint="eastAsia" w:ascii="黑体" w:hAnsi="黑体" w:eastAsia="黑体"/>
          <w:bCs/>
          <w:color w:val="auto"/>
          <w:szCs w:val="21"/>
          <w:highlight w:val="none"/>
        </w:rPr>
        <w:t>服务</w:t>
      </w:r>
      <w:r>
        <w:rPr>
          <w:rFonts w:ascii="黑体" w:hAnsi="黑体" w:eastAsia="黑体"/>
          <w:bCs/>
          <w:color w:val="auto"/>
          <w:szCs w:val="21"/>
          <w:highlight w:val="none"/>
        </w:rPr>
        <w:t>”</w:t>
      </w:r>
      <w:r>
        <w:rPr>
          <w:rFonts w:hint="eastAsia" w:ascii="黑体" w:hAnsi="黑体" w:eastAsia="黑体"/>
          <w:bCs/>
          <w:color w:val="auto"/>
          <w:szCs w:val="21"/>
          <w:highlight w:val="none"/>
        </w:rPr>
        <w:t>是指投标人按招标文件规定完成的全部服务内容，其中包括完成服务所需的货物，及须承担的技术支持、培训和其它伴随服务；</w:t>
      </w:r>
    </w:p>
    <w:p w14:paraId="445A4C1D">
      <w:pPr>
        <w:pStyle w:val="32"/>
        <w:numPr>
          <w:ilvl w:val="0"/>
          <w:numId w:val="1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投标人提供的所有服务，其质量、技术等特征必须符合国家、行业现行法律、法规的相关标准规定及用户需求；</w:t>
      </w:r>
    </w:p>
    <w:p w14:paraId="4098A3E5">
      <w:pPr>
        <w:pStyle w:val="32"/>
        <w:numPr>
          <w:ilvl w:val="0"/>
          <w:numId w:val="13"/>
        </w:numPr>
        <w:spacing w:line="360" w:lineRule="auto"/>
        <w:ind w:firstLineChars="0"/>
        <w:rPr>
          <w:rFonts w:ascii="黑体" w:hAnsi="黑体" w:eastAsia="黑体"/>
          <w:bCs/>
          <w:color w:val="auto"/>
          <w:spacing w:val="-6"/>
          <w:szCs w:val="21"/>
          <w:highlight w:val="none"/>
        </w:rPr>
      </w:pPr>
      <w:r>
        <w:rPr>
          <w:rFonts w:hint="eastAsia" w:ascii="黑体" w:hAnsi="黑体" w:eastAsia="黑体"/>
          <w:bCs/>
          <w:color w:val="auto"/>
          <w:spacing w:val="-6"/>
          <w:szCs w:val="21"/>
          <w:highlight w:val="none"/>
        </w:rPr>
        <w:t>采购人有权拒绝接受任何不合格的服务，由此产生的费用及相关后果均由</w:t>
      </w:r>
      <w:r>
        <w:rPr>
          <w:rFonts w:hint="eastAsia" w:ascii="黑体" w:hAnsi="黑体" w:eastAsia="黑体"/>
          <w:bCs/>
          <w:color w:val="auto"/>
          <w:szCs w:val="21"/>
          <w:highlight w:val="none"/>
        </w:rPr>
        <w:t>投标人</w:t>
      </w:r>
      <w:r>
        <w:rPr>
          <w:rFonts w:hint="eastAsia" w:ascii="黑体" w:hAnsi="黑体" w:eastAsia="黑体"/>
          <w:bCs/>
          <w:color w:val="auto"/>
          <w:spacing w:val="-6"/>
          <w:szCs w:val="21"/>
          <w:highlight w:val="none"/>
        </w:rPr>
        <w:t>自行承担；</w:t>
      </w:r>
    </w:p>
    <w:p w14:paraId="20977ACD">
      <w:pPr>
        <w:pStyle w:val="32"/>
        <w:numPr>
          <w:ilvl w:val="0"/>
          <w:numId w:val="1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保证本项目的投标技术、服务或其任何一部分不会产生因第三方提出侵犯其专利权、商标权或其他知识产权而引起的法律和经济纠纷；如果投标人不拥有相应的知识产权，则须在报价中包括合法获取该知识产权的相关费用，并在投标文件中附有相关证明文件。如因第三方提出其专利权、商标权或其他知识产权的侵权之诉，则一切法律责任由投标人承担。</w:t>
      </w:r>
    </w:p>
    <w:p w14:paraId="56365C90">
      <w:pPr>
        <w:pStyle w:val="32"/>
        <w:numPr>
          <w:ilvl w:val="0"/>
          <w:numId w:val="11"/>
        </w:numPr>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投标费用</w:t>
      </w:r>
    </w:p>
    <w:p w14:paraId="28DB13AF">
      <w:pPr>
        <w:pStyle w:val="32"/>
        <w:numPr>
          <w:ilvl w:val="0"/>
          <w:numId w:val="14"/>
        </w:numPr>
        <w:spacing w:line="360" w:lineRule="auto"/>
        <w:ind w:firstLineChars="0"/>
        <w:rPr>
          <w:rFonts w:ascii="黑体" w:hAnsi="黑体" w:eastAsia="黑体"/>
          <w:bCs/>
          <w:color w:val="auto"/>
          <w:szCs w:val="21"/>
          <w:highlight w:val="none"/>
        </w:rPr>
      </w:pPr>
      <w:r>
        <w:rPr>
          <w:rFonts w:ascii="黑体" w:hAnsi="黑体" w:eastAsia="黑体"/>
          <w:bCs/>
          <w:color w:val="auto"/>
          <w:szCs w:val="21"/>
          <w:highlight w:val="none"/>
        </w:rPr>
        <w:t>投标人应承担所有与准备和参加投标有关的费用。不论投标的结果如何，采购人无义务和责任承担这些费用</w:t>
      </w:r>
      <w:r>
        <w:rPr>
          <w:rFonts w:hint="eastAsia" w:ascii="黑体" w:hAnsi="黑体" w:eastAsia="黑体"/>
          <w:bCs/>
          <w:color w:val="auto"/>
          <w:szCs w:val="21"/>
          <w:highlight w:val="none"/>
        </w:rPr>
        <w:t>。</w:t>
      </w:r>
    </w:p>
    <w:p w14:paraId="0D80031F">
      <w:pPr>
        <w:pStyle w:val="32"/>
        <w:numPr>
          <w:ilvl w:val="0"/>
          <w:numId w:val="10"/>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招标文件</w:t>
      </w:r>
      <w:bookmarkStart w:id="16" w:name="_Toc357676115"/>
    </w:p>
    <w:p w14:paraId="450ABB06">
      <w:pPr>
        <w:pStyle w:val="32"/>
        <w:numPr>
          <w:ilvl w:val="0"/>
          <w:numId w:val="11"/>
        </w:numPr>
        <w:spacing w:line="360" w:lineRule="auto"/>
        <w:ind w:firstLineChars="0"/>
        <w:rPr>
          <w:rFonts w:ascii="黑体" w:hAnsi="黑体" w:eastAsia="黑体"/>
          <w:b/>
          <w:color w:val="auto"/>
          <w:highlight w:val="none"/>
        </w:rPr>
      </w:pPr>
      <w:r>
        <w:rPr>
          <w:rFonts w:hint="eastAsia" w:ascii="黑体" w:hAnsi="黑体" w:eastAsia="黑体"/>
          <w:b/>
          <w:color w:val="auto"/>
          <w:highlight w:val="none"/>
        </w:rPr>
        <w:t>招标文件的编制依据与构成</w:t>
      </w:r>
      <w:bookmarkEnd w:id="16"/>
    </w:p>
    <w:p w14:paraId="1E718083">
      <w:pPr>
        <w:pStyle w:val="32"/>
        <w:numPr>
          <w:ilvl w:val="0"/>
          <w:numId w:val="1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要求提供的服务、采购过程和合同条件在招标文件中均有说明。招标文件以中文文字编写。招标文件由下列文件以及在招标过程中发出的澄清、修改和补充文件组成，组成内容如下：</w:t>
      </w:r>
    </w:p>
    <w:p w14:paraId="21C99434">
      <w:pPr>
        <w:pStyle w:val="32"/>
        <w:numPr>
          <w:ilvl w:val="0"/>
          <w:numId w:val="1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第一部分 投标邀请函</w:t>
      </w:r>
    </w:p>
    <w:p w14:paraId="61794517">
      <w:pPr>
        <w:pStyle w:val="32"/>
        <w:numPr>
          <w:ilvl w:val="0"/>
          <w:numId w:val="1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第二部分 用户需求书</w:t>
      </w:r>
    </w:p>
    <w:p w14:paraId="36F648D2">
      <w:pPr>
        <w:pStyle w:val="32"/>
        <w:numPr>
          <w:ilvl w:val="0"/>
          <w:numId w:val="1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第三部分 投标须知前附表</w:t>
      </w:r>
    </w:p>
    <w:p w14:paraId="178D6E3E">
      <w:pPr>
        <w:pStyle w:val="32"/>
        <w:numPr>
          <w:ilvl w:val="0"/>
          <w:numId w:val="1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第四部分 投标须知</w:t>
      </w:r>
    </w:p>
    <w:p w14:paraId="27D4C7FF">
      <w:pPr>
        <w:pStyle w:val="32"/>
        <w:numPr>
          <w:ilvl w:val="0"/>
          <w:numId w:val="1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第五部分 评标方法、步骤、标准</w:t>
      </w:r>
    </w:p>
    <w:p w14:paraId="33D13C90">
      <w:pPr>
        <w:pStyle w:val="32"/>
        <w:numPr>
          <w:ilvl w:val="0"/>
          <w:numId w:val="1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第六部分 合同书格式</w:t>
      </w:r>
    </w:p>
    <w:p w14:paraId="2F9955F0">
      <w:pPr>
        <w:pStyle w:val="32"/>
        <w:numPr>
          <w:ilvl w:val="0"/>
          <w:numId w:val="1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第七部分 投标文件格式</w:t>
      </w:r>
    </w:p>
    <w:p w14:paraId="3C774B7A">
      <w:pPr>
        <w:pStyle w:val="32"/>
        <w:numPr>
          <w:ilvl w:val="0"/>
          <w:numId w:val="1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第八部分 在招标过程中由采购人发出的修正和补充文件等</w:t>
      </w:r>
    </w:p>
    <w:p w14:paraId="65B6976D">
      <w:pPr>
        <w:pStyle w:val="32"/>
        <w:numPr>
          <w:ilvl w:val="0"/>
          <w:numId w:val="1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认真阅读、并充分理解招标文件的全部内容（包括所有的补充、修改内容重要事项、格式、条款和服务要求等）。投标人没有按照招标文件要求提交全部资料，或者投标文件没有对招标文件在各方面都作出实质性响应是投标人的风险，有可能导致其投标被拒绝，或被认定为无效投标或被确定为投标无效。</w:t>
      </w:r>
    </w:p>
    <w:p w14:paraId="311070A6">
      <w:pPr>
        <w:pStyle w:val="32"/>
        <w:numPr>
          <w:ilvl w:val="0"/>
          <w:numId w:val="1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本招标文件的解释权归“</w:t>
      </w:r>
      <w:r>
        <w:rPr>
          <w:rFonts w:hint="eastAsia" w:ascii="黑体" w:hAnsi="黑体" w:eastAsia="黑体"/>
          <w:bCs/>
          <w:color w:val="auto"/>
          <w:szCs w:val="21"/>
          <w:highlight w:val="none"/>
          <w:lang w:eastAsia="zh-CN"/>
        </w:rPr>
        <w:t>东莞松山湖高新技术产业开发区</w:t>
      </w:r>
      <w:r>
        <w:rPr>
          <w:rFonts w:hint="eastAsia" w:ascii="黑体" w:hAnsi="黑体" w:eastAsia="黑体"/>
          <w:bCs/>
          <w:color w:val="auto"/>
          <w:szCs w:val="21"/>
          <w:highlight w:val="none"/>
          <w:lang w:val="en-US" w:eastAsia="zh-CN"/>
        </w:rPr>
        <w:t>招投标服务所</w:t>
      </w:r>
      <w:r>
        <w:rPr>
          <w:rFonts w:hint="eastAsia" w:ascii="黑体" w:hAnsi="黑体" w:eastAsia="黑体"/>
          <w:bCs/>
          <w:color w:val="auto"/>
          <w:szCs w:val="21"/>
          <w:highlight w:val="none"/>
        </w:rPr>
        <w:t>”所有。</w:t>
      </w:r>
    </w:p>
    <w:p w14:paraId="4CDEBD07">
      <w:pPr>
        <w:pStyle w:val="32"/>
        <w:numPr>
          <w:ilvl w:val="0"/>
          <w:numId w:val="11"/>
        </w:numPr>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招标文件的答疑、澄清或修改</w:t>
      </w:r>
    </w:p>
    <w:p w14:paraId="65E48956">
      <w:pPr>
        <w:pStyle w:val="32"/>
        <w:numPr>
          <w:ilvl w:val="0"/>
          <w:numId w:val="1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除非</w:t>
      </w:r>
      <w:r>
        <w:rPr>
          <w:rFonts w:hint="eastAsia" w:ascii="黑体" w:hAnsi="黑体" w:eastAsia="黑体"/>
          <w:bCs/>
          <w:color w:val="auto"/>
          <w:szCs w:val="21"/>
          <w:highlight w:val="none"/>
          <w:u w:val="single"/>
        </w:rPr>
        <w:t xml:space="preserve"> </w:t>
      </w:r>
      <w:r>
        <w:rPr>
          <w:rFonts w:hint="eastAsia" w:ascii="黑体" w:hAnsi="黑体" w:eastAsia="黑体"/>
          <w:b/>
          <w:bCs/>
          <w:color w:val="auto"/>
          <w:szCs w:val="21"/>
          <w:highlight w:val="none"/>
          <w:u w:val="single"/>
        </w:rPr>
        <w:t xml:space="preserve">投标须知前附表 </w:t>
      </w:r>
      <w:r>
        <w:rPr>
          <w:rFonts w:hint="eastAsia" w:ascii="黑体" w:hAnsi="黑体" w:eastAsia="黑体"/>
          <w:bCs/>
          <w:color w:val="auto"/>
          <w:szCs w:val="21"/>
          <w:highlight w:val="none"/>
        </w:rPr>
        <w:t>中另有规定，不举行项目集中答疑会或现场考察，如举行集中答疑会或现场考察的，则按以下规定：</w:t>
      </w:r>
    </w:p>
    <w:p w14:paraId="059DF871">
      <w:pPr>
        <w:pStyle w:val="32"/>
        <w:numPr>
          <w:ilvl w:val="0"/>
          <w:numId w:val="1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在</w:t>
      </w:r>
      <w:r>
        <w:rPr>
          <w:rFonts w:hint="eastAsia" w:ascii="黑体" w:hAnsi="黑体" w:eastAsia="黑体"/>
          <w:bCs/>
          <w:color w:val="auto"/>
          <w:szCs w:val="21"/>
          <w:highlight w:val="none"/>
          <w:u w:val="single"/>
        </w:rPr>
        <w:t xml:space="preserve"> </w:t>
      </w:r>
      <w:r>
        <w:rPr>
          <w:rFonts w:hint="eastAsia" w:ascii="黑体" w:hAnsi="黑体" w:eastAsia="黑体"/>
          <w:b/>
          <w:bCs/>
          <w:color w:val="auto"/>
          <w:szCs w:val="21"/>
          <w:highlight w:val="none"/>
          <w:u w:val="single"/>
        </w:rPr>
        <w:t xml:space="preserve">投标须知前附表 </w:t>
      </w:r>
      <w:r>
        <w:rPr>
          <w:rFonts w:hint="eastAsia" w:ascii="黑体" w:hAnsi="黑体" w:eastAsia="黑体"/>
          <w:bCs/>
          <w:color w:val="auto"/>
          <w:szCs w:val="21"/>
          <w:highlight w:val="none"/>
        </w:rPr>
        <w:t>中规定的日期、时间和地点组织公开答疑会或现场考察；</w:t>
      </w:r>
    </w:p>
    <w:p w14:paraId="1C3AB336">
      <w:pPr>
        <w:pStyle w:val="32"/>
        <w:numPr>
          <w:ilvl w:val="0"/>
          <w:numId w:val="1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潜在投标人对本项目提出的疑问，需在答疑会或现场考察召开日前至少一个工作日将问题清单以书面形式（加盖公章）提交至采购人，潜在投标人代表于上述的时间和地点出席答疑会或现场考察；</w:t>
      </w:r>
    </w:p>
    <w:p w14:paraId="4CB97113">
      <w:pPr>
        <w:pStyle w:val="32"/>
        <w:numPr>
          <w:ilvl w:val="0"/>
          <w:numId w:val="1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投标人如不出席答疑会或现场考察视为对招标文件所有内容无任何异议。</w:t>
      </w:r>
    </w:p>
    <w:p w14:paraId="233C1B51">
      <w:pPr>
        <w:pStyle w:val="32"/>
        <w:numPr>
          <w:ilvl w:val="0"/>
          <w:numId w:val="1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投标人在规定的时间内未对招标文件提出澄清或疑问的，采购人将视其为无异议。对招标文件中描述有歧意或前后不一致的地方，评标委员会有权进行评判，但对同一条款的评判应适用于每个投标人。</w:t>
      </w:r>
    </w:p>
    <w:p w14:paraId="5DEEA6F8">
      <w:pPr>
        <w:pStyle w:val="32"/>
        <w:numPr>
          <w:ilvl w:val="0"/>
          <w:numId w:val="17"/>
        </w:numPr>
        <w:spacing w:line="360" w:lineRule="auto"/>
        <w:ind w:firstLineChars="0"/>
        <w:rPr>
          <w:rFonts w:ascii="黑体" w:hAnsi="黑体" w:eastAsia="黑体"/>
          <w:bCs/>
          <w:color w:val="auto"/>
          <w:szCs w:val="21"/>
          <w:highlight w:val="none"/>
        </w:rPr>
      </w:pPr>
      <w:r>
        <w:rPr>
          <w:rFonts w:ascii="黑体" w:hAnsi="黑体" w:eastAsia="黑体"/>
          <w:bCs/>
          <w:color w:val="auto"/>
          <w:szCs w:val="21"/>
          <w:highlight w:val="none"/>
        </w:rPr>
        <w:t>采购人可以对已发出的招标文件进行必要的澄清或者修改。澄清或者修改的内容可能影响投标文件编制的，采购人应当在投标截止时间至少</w:t>
      </w:r>
      <w:r>
        <w:rPr>
          <w:rFonts w:hint="eastAsia" w:ascii="黑体" w:hAnsi="黑体" w:eastAsia="黑体"/>
          <w:bCs/>
          <w:color w:val="auto"/>
          <w:szCs w:val="21"/>
          <w:highlight w:val="none"/>
        </w:rPr>
        <w:t>2</w:t>
      </w:r>
      <w:r>
        <w:rPr>
          <w:rFonts w:ascii="黑体" w:hAnsi="黑体" w:eastAsia="黑体"/>
          <w:bCs/>
          <w:color w:val="auto"/>
          <w:szCs w:val="21"/>
          <w:highlight w:val="none"/>
        </w:rPr>
        <w:t>日前，以书面形式通知所有获取招标文件的潜在投标人；不足</w:t>
      </w:r>
      <w:r>
        <w:rPr>
          <w:rFonts w:hint="eastAsia" w:ascii="黑体" w:hAnsi="黑体" w:eastAsia="黑体"/>
          <w:bCs/>
          <w:color w:val="auto"/>
          <w:szCs w:val="21"/>
          <w:highlight w:val="none"/>
        </w:rPr>
        <w:t>2</w:t>
      </w:r>
      <w:r>
        <w:rPr>
          <w:rFonts w:ascii="黑体" w:hAnsi="黑体" w:eastAsia="黑体"/>
          <w:bCs/>
          <w:color w:val="auto"/>
          <w:szCs w:val="21"/>
          <w:highlight w:val="none"/>
        </w:rPr>
        <w:t>日的，采购人应当顺延提交投标文件的截止时间</w:t>
      </w:r>
      <w:r>
        <w:rPr>
          <w:rFonts w:hint="eastAsia" w:ascii="黑体" w:hAnsi="黑体" w:eastAsia="黑体"/>
          <w:bCs/>
          <w:color w:val="auto"/>
          <w:szCs w:val="21"/>
          <w:highlight w:val="none"/>
        </w:rPr>
        <w:t>。</w:t>
      </w:r>
    </w:p>
    <w:p w14:paraId="5CF068A2">
      <w:pPr>
        <w:pStyle w:val="32"/>
        <w:numPr>
          <w:ilvl w:val="0"/>
          <w:numId w:val="1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采购人可以视采购具体情况，延长投标截止时间和开标时间，但至少应当在招标文件要求提交投标文件的截止时间2日前，将更变时间书面通知所有招标文件收受人，并在相关采购信息发布媒体上发布变更公告。</w:t>
      </w:r>
    </w:p>
    <w:p w14:paraId="2911F603">
      <w:pPr>
        <w:pStyle w:val="32"/>
        <w:numPr>
          <w:ilvl w:val="0"/>
          <w:numId w:val="17"/>
        </w:numPr>
        <w:spacing w:line="360" w:lineRule="auto"/>
        <w:ind w:firstLineChars="0"/>
        <w:rPr>
          <w:rFonts w:ascii="黑体" w:hAnsi="黑体" w:eastAsia="黑体"/>
          <w:bCs/>
          <w:color w:val="auto"/>
          <w:szCs w:val="21"/>
          <w:highlight w:val="none"/>
        </w:rPr>
      </w:pPr>
      <w:r>
        <w:rPr>
          <w:rFonts w:ascii="黑体" w:hAnsi="黑体" w:eastAsia="黑体"/>
          <w:bCs/>
          <w:color w:val="auto"/>
          <w:szCs w:val="21"/>
          <w:highlight w:val="none"/>
        </w:rPr>
        <w:t>招标文件的</w:t>
      </w:r>
      <w:r>
        <w:rPr>
          <w:rFonts w:hint="eastAsia" w:ascii="黑体" w:hAnsi="黑体" w:eastAsia="黑体"/>
          <w:bCs/>
          <w:color w:val="auto"/>
          <w:szCs w:val="21"/>
          <w:highlight w:val="none"/>
        </w:rPr>
        <w:t>澄清或</w:t>
      </w:r>
      <w:r>
        <w:rPr>
          <w:rFonts w:ascii="黑体" w:hAnsi="黑体" w:eastAsia="黑体"/>
          <w:bCs/>
          <w:color w:val="auto"/>
          <w:szCs w:val="21"/>
          <w:highlight w:val="none"/>
        </w:rPr>
        <w:t>修改内容作为招标文件的组成部分，具有约束作用</w:t>
      </w:r>
      <w:r>
        <w:rPr>
          <w:rFonts w:hint="eastAsia" w:ascii="黑体" w:hAnsi="黑体" w:eastAsia="黑体"/>
          <w:bCs/>
          <w:color w:val="auto"/>
          <w:szCs w:val="21"/>
          <w:highlight w:val="none"/>
        </w:rPr>
        <w:t>。</w:t>
      </w:r>
      <w:r>
        <w:rPr>
          <w:rFonts w:ascii="黑体" w:hAnsi="黑体" w:eastAsia="黑体"/>
          <w:bCs/>
          <w:color w:val="auto"/>
          <w:szCs w:val="21"/>
          <w:highlight w:val="none"/>
        </w:rPr>
        <w:t>当招标文件、招标文件的澄清</w:t>
      </w:r>
      <w:r>
        <w:rPr>
          <w:rFonts w:hint="eastAsia" w:ascii="黑体" w:hAnsi="黑体" w:eastAsia="黑体"/>
          <w:bCs/>
          <w:color w:val="auto"/>
          <w:szCs w:val="21"/>
          <w:highlight w:val="none"/>
        </w:rPr>
        <w:t>或</w:t>
      </w:r>
      <w:r>
        <w:rPr>
          <w:rFonts w:ascii="黑体" w:hAnsi="黑体" w:eastAsia="黑体"/>
          <w:bCs/>
          <w:color w:val="auto"/>
          <w:szCs w:val="21"/>
          <w:highlight w:val="none"/>
        </w:rPr>
        <w:t>修改等在同一内容的表述上不一致时，以最后发出的书面文件为准。</w:t>
      </w:r>
    </w:p>
    <w:p w14:paraId="39AB8D3C">
      <w:pPr>
        <w:pStyle w:val="32"/>
        <w:numPr>
          <w:ilvl w:val="0"/>
          <w:numId w:val="1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招标期间，投标人有义务上网查看，公告一经上网发布，即视为送达。</w:t>
      </w:r>
      <w:r>
        <w:rPr>
          <w:rFonts w:ascii="黑体" w:hAnsi="黑体" w:eastAsia="黑体"/>
          <w:bCs/>
          <w:color w:val="auto"/>
          <w:szCs w:val="21"/>
          <w:highlight w:val="none"/>
        </w:rPr>
        <w:t>投标人应于收到该</w:t>
      </w:r>
      <w:r>
        <w:rPr>
          <w:rFonts w:hint="eastAsia" w:ascii="黑体" w:hAnsi="黑体" w:eastAsia="黑体"/>
          <w:bCs/>
          <w:color w:val="auto"/>
          <w:szCs w:val="21"/>
          <w:highlight w:val="none"/>
        </w:rPr>
        <w:t>澄清或</w:t>
      </w:r>
      <w:r>
        <w:rPr>
          <w:rFonts w:ascii="黑体" w:hAnsi="黑体" w:eastAsia="黑体"/>
          <w:bCs/>
          <w:color w:val="auto"/>
          <w:szCs w:val="21"/>
          <w:highlight w:val="none"/>
        </w:rPr>
        <w:t>修改文件的</w:t>
      </w:r>
      <w:r>
        <w:rPr>
          <w:rFonts w:hint="eastAsia" w:ascii="黑体" w:hAnsi="黑体" w:eastAsia="黑体"/>
          <w:bCs/>
          <w:color w:val="auto"/>
          <w:szCs w:val="21"/>
          <w:highlight w:val="none"/>
        </w:rPr>
        <w:t>二十四小时</w:t>
      </w:r>
      <w:r>
        <w:rPr>
          <w:rFonts w:ascii="黑体" w:hAnsi="黑体" w:eastAsia="黑体"/>
          <w:bCs/>
          <w:color w:val="auto"/>
          <w:szCs w:val="21"/>
          <w:highlight w:val="none"/>
        </w:rPr>
        <w:t>内以书面形式给予确认</w:t>
      </w:r>
      <w:r>
        <w:rPr>
          <w:rFonts w:hint="eastAsia" w:ascii="黑体" w:hAnsi="黑体" w:eastAsia="黑体"/>
          <w:bCs/>
          <w:color w:val="auto"/>
          <w:szCs w:val="21"/>
          <w:highlight w:val="none"/>
        </w:rPr>
        <w:t>。</w:t>
      </w:r>
    </w:p>
    <w:p w14:paraId="657C5E52">
      <w:pPr>
        <w:pStyle w:val="32"/>
        <w:numPr>
          <w:ilvl w:val="0"/>
          <w:numId w:val="10"/>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投标文件的编制</w:t>
      </w:r>
    </w:p>
    <w:p w14:paraId="2AAF4B4F">
      <w:pPr>
        <w:pStyle w:val="32"/>
        <w:numPr>
          <w:ilvl w:val="0"/>
          <w:numId w:val="11"/>
        </w:numPr>
        <w:spacing w:line="360" w:lineRule="auto"/>
        <w:ind w:firstLineChars="0"/>
        <w:rPr>
          <w:rFonts w:ascii="黑体" w:hAnsi="黑体" w:eastAsia="黑体"/>
          <w:b/>
          <w:color w:val="auto"/>
          <w:highlight w:val="none"/>
        </w:rPr>
      </w:pPr>
      <w:r>
        <w:rPr>
          <w:rFonts w:hint="eastAsia" w:ascii="黑体" w:hAnsi="黑体" w:eastAsia="黑体"/>
          <w:b/>
          <w:color w:val="auto"/>
          <w:highlight w:val="none"/>
        </w:rPr>
        <w:t>投标的语言</w:t>
      </w:r>
    </w:p>
    <w:p w14:paraId="7877E56D">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投标人提交的投标文件以及投标人与招标采购单位就有关投标的所有来往函电均应使用中文书写。投标人提交的支持资料和己印刷的文献可以用另一种语言，但相应内容应附有中文翻译本，在解释投标文件的修改内容时以中文翻译本为准。对中文翻译有异议的，以权威机构的译本为准。</w:t>
      </w:r>
    </w:p>
    <w:p w14:paraId="71E993F0">
      <w:pPr>
        <w:pStyle w:val="32"/>
        <w:numPr>
          <w:ilvl w:val="0"/>
          <w:numId w:val="11"/>
        </w:numPr>
        <w:tabs>
          <w:tab w:val="left" w:pos="426"/>
        </w:tabs>
        <w:spacing w:beforeLines="100" w:line="360" w:lineRule="auto"/>
        <w:ind w:firstLineChars="0"/>
        <w:rPr>
          <w:rFonts w:ascii="黑体" w:hAnsi="黑体" w:eastAsia="黑体"/>
          <w:b/>
          <w:color w:val="auto"/>
          <w:highlight w:val="none"/>
        </w:rPr>
      </w:pPr>
      <w:bookmarkStart w:id="17" w:name="_Toc357676120"/>
      <w:r>
        <w:rPr>
          <w:rFonts w:hint="eastAsia" w:ascii="黑体" w:hAnsi="黑体" w:eastAsia="黑体"/>
          <w:b/>
          <w:color w:val="auto"/>
          <w:highlight w:val="none"/>
        </w:rPr>
        <w:t>投标文件的构成</w:t>
      </w:r>
      <w:bookmarkEnd w:id="17"/>
    </w:p>
    <w:p w14:paraId="1DBC7DA4">
      <w:pPr>
        <w:pStyle w:val="32"/>
        <w:numPr>
          <w:ilvl w:val="0"/>
          <w:numId w:val="1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投标人编写的投标文件应包括商务文件、技术文件，编排顺序参见投标文件格式。</w:t>
      </w:r>
    </w:p>
    <w:p w14:paraId="0DAD4D8B">
      <w:pPr>
        <w:pStyle w:val="32"/>
        <w:numPr>
          <w:ilvl w:val="0"/>
          <w:numId w:val="1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投标文件的构成应符合法律法规及招标文件的要求。</w:t>
      </w:r>
    </w:p>
    <w:p w14:paraId="724CE13F">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投标文件的编写</w:t>
      </w:r>
    </w:p>
    <w:p w14:paraId="408D98C4">
      <w:pPr>
        <w:pStyle w:val="32"/>
        <w:numPr>
          <w:ilvl w:val="0"/>
          <w:numId w:val="2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投标人应完整、真实、准确地填写招标文件中提供的投标函、开标一览表以及招标文件中规定的其它所有内容。</w:t>
      </w:r>
    </w:p>
    <w:p w14:paraId="3351EEEF">
      <w:pPr>
        <w:pStyle w:val="32"/>
        <w:numPr>
          <w:ilvl w:val="0"/>
          <w:numId w:val="2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对招标文件中多个包组进行投标的，其投标文件的编制可按每个包组的要求分别装订和封装。投标人应当对投标文件进行装订，对未经装订的投标文件可能发生的文件散落或缺损，由此造成的后果和责任由投标人承担。</w:t>
      </w:r>
    </w:p>
    <w:p w14:paraId="6BA1F544">
      <w:pPr>
        <w:pStyle w:val="32"/>
        <w:numPr>
          <w:ilvl w:val="0"/>
          <w:numId w:val="2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投标人必须对投标文件所提供的全部资料的真实性承担法律责任，并无条件接受招标采购单位及采购监督管理部门等对其中任何资料进行核实的要求。</w:t>
      </w:r>
    </w:p>
    <w:p w14:paraId="393BD25F">
      <w:pPr>
        <w:pStyle w:val="32"/>
        <w:numPr>
          <w:ilvl w:val="0"/>
          <w:numId w:val="2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如果因为投标人的投标文件只填写和提供了本招标文件要求的部分内容和附件，或没有提供招标文件中所要求的全部资料及数据，由此造成的后果和责任由投标人承担。</w:t>
      </w:r>
    </w:p>
    <w:p w14:paraId="4C20187B">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投标报价</w:t>
      </w:r>
    </w:p>
    <w:p w14:paraId="6F41E481">
      <w:pPr>
        <w:pStyle w:val="32"/>
        <w:numPr>
          <w:ilvl w:val="0"/>
          <w:numId w:val="2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投标人应按照“第二部分　用户需求书”中采购项目服务要求规定的内容、责任范围进行报价。本项目报价方式为利率水平报价，投标人按《开标一览表》的要求报出利率水平。</w:t>
      </w:r>
    </w:p>
    <w:p w14:paraId="4B1F261A">
      <w:pPr>
        <w:pStyle w:val="32"/>
        <w:numPr>
          <w:ilvl w:val="0"/>
          <w:numId w:val="2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投标人在中标并签署合同后，服务期限内出现的任何遗漏，均由中标人负责，采购人将不再支付任何费用。</w:t>
      </w:r>
    </w:p>
    <w:p w14:paraId="2A6E6180">
      <w:pPr>
        <w:pStyle w:val="32"/>
        <w:numPr>
          <w:ilvl w:val="0"/>
          <w:numId w:val="2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除</w:t>
      </w:r>
      <w:r>
        <w:rPr>
          <w:rFonts w:hint="eastAsia" w:ascii="黑体" w:hAnsi="黑体" w:eastAsia="黑体"/>
          <w:bCs/>
          <w:color w:val="auto"/>
          <w:szCs w:val="21"/>
          <w:highlight w:val="none"/>
          <w:u w:val="single"/>
        </w:rPr>
        <w:t xml:space="preserve"> </w:t>
      </w:r>
      <w:r>
        <w:rPr>
          <w:rFonts w:hint="eastAsia" w:ascii="黑体" w:hAnsi="黑体" w:eastAsia="黑体"/>
          <w:b/>
          <w:bCs/>
          <w:color w:val="auto"/>
          <w:szCs w:val="21"/>
          <w:highlight w:val="none"/>
          <w:u w:val="single"/>
        </w:rPr>
        <w:t xml:space="preserve">投标须知前附表 </w:t>
      </w:r>
      <w:r>
        <w:rPr>
          <w:rFonts w:hint="eastAsia" w:ascii="黑体" w:hAnsi="黑体" w:eastAsia="黑体"/>
          <w:bCs/>
          <w:color w:val="auto"/>
          <w:szCs w:val="21"/>
          <w:highlight w:val="none"/>
        </w:rPr>
        <w:t>中另有规定，投标人所报的投标价在合同执行过程中是固定不变的，不得以任何理由予以变更。任何包含价格调整要求的投标被认为是非实质性响应投标而予以拒绝。</w:t>
      </w:r>
    </w:p>
    <w:p w14:paraId="52B2FC40">
      <w:pPr>
        <w:pStyle w:val="32"/>
        <w:numPr>
          <w:ilvl w:val="0"/>
          <w:numId w:val="2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除</w:t>
      </w:r>
      <w:r>
        <w:rPr>
          <w:rFonts w:hint="eastAsia" w:ascii="黑体" w:hAnsi="黑体" w:eastAsia="黑体"/>
          <w:bCs/>
          <w:color w:val="auto"/>
          <w:szCs w:val="21"/>
          <w:highlight w:val="none"/>
          <w:u w:val="single"/>
        </w:rPr>
        <w:t xml:space="preserve"> </w:t>
      </w:r>
      <w:r>
        <w:rPr>
          <w:rFonts w:hint="eastAsia" w:ascii="黑体" w:hAnsi="黑体" w:eastAsia="黑体"/>
          <w:b/>
          <w:bCs/>
          <w:color w:val="auto"/>
          <w:szCs w:val="21"/>
          <w:highlight w:val="none"/>
          <w:u w:val="single"/>
        </w:rPr>
        <w:t xml:space="preserve">投标须知前附表 </w:t>
      </w:r>
      <w:r>
        <w:rPr>
          <w:rFonts w:hint="eastAsia" w:ascii="黑体" w:hAnsi="黑体" w:eastAsia="黑体"/>
          <w:bCs/>
          <w:color w:val="auto"/>
          <w:szCs w:val="21"/>
          <w:highlight w:val="none"/>
        </w:rPr>
        <w:t>中允许有备选方案外，本次招标不接受选择性报价，否则将被视为无效投标。</w:t>
      </w:r>
    </w:p>
    <w:p w14:paraId="30B96827">
      <w:pPr>
        <w:pStyle w:val="32"/>
        <w:numPr>
          <w:ilvl w:val="0"/>
          <w:numId w:val="2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除</w:t>
      </w:r>
      <w:r>
        <w:rPr>
          <w:rFonts w:hint="eastAsia" w:ascii="黑体" w:hAnsi="黑体" w:eastAsia="黑体"/>
          <w:bCs/>
          <w:color w:val="auto"/>
          <w:szCs w:val="21"/>
          <w:highlight w:val="none"/>
          <w:u w:val="single"/>
        </w:rPr>
        <w:t xml:space="preserve"> </w:t>
      </w:r>
      <w:r>
        <w:rPr>
          <w:rFonts w:hint="eastAsia" w:ascii="黑体" w:hAnsi="黑体" w:eastAsia="黑体"/>
          <w:b/>
          <w:bCs/>
          <w:color w:val="auto"/>
          <w:szCs w:val="21"/>
          <w:highlight w:val="none"/>
          <w:u w:val="single"/>
        </w:rPr>
        <w:t xml:space="preserve">投标须知前附表 </w:t>
      </w:r>
      <w:r>
        <w:rPr>
          <w:rFonts w:hint="eastAsia" w:ascii="黑体" w:hAnsi="黑体" w:eastAsia="黑体"/>
          <w:bCs/>
          <w:color w:val="auto"/>
          <w:szCs w:val="21"/>
          <w:highlight w:val="none"/>
        </w:rPr>
        <w:t>另有规定外，本次招标不接受具有附加条件的报价，否则将被视为无效投标。</w:t>
      </w:r>
    </w:p>
    <w:p w14:paraId="44EDB83A">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投标货币</w:t>
      </w:r>
    </w:p>
    <w:p w14:paraId="26B47557">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投标货币以人民币标价，以其它货币标价的投标将予以拒绝。</w:t>
      </w:r>
    </w:p>
    <w:p w14:paraId="119B2A65">
      <w:pPr>
        <w:pStyle w:val="32"/>
        <w:numPr>
          <w:ilvl w:val="0"/>
          <w:numId w:val="11"/>
        </w:numPr>
        <w:tabs>
          <w:tab w:val="left" w:pos="426"/>
        </w:tabs>
        <w:spacing w:beforeLines="100" w:line="360" w:lineRule="auto"/>
        <w:ind w:firstLineChars="0"/>
        <w:rPr>
          <w:rFonts w:ascii="黑体" w:hAnsi="黑体" w:eastAsia="黑体"/>
          <w:b/>
          <w:color w:val="auto"/>
          <w:highlight w:val="none"/>
        </w:rPr>
      </w:pPr>
      <w:bookmarkStart w:id="18" w:name="_Toc357676125"/>
      <w:r>
        <w:rPr>
          <w:rFonts w:hint="eastAsia" w:ascii="黑体" w:hAnsi="黑体" w:eastAsia="黑体"/>
          <w:b/>
          <w:color w:val="auto"/>
          <w:highlight w:val="none"/>
        </w:rPr>
        <w:t>证明投标人合格和资格的文件</w:t>
      </w:r>
      <w:bookmarkEnd w:id="18"/>
    </w:p>
    <w:p w14:paraId="7D48E0C7">
      <w:pPr>
        <w:pStyle w:val="32"/>
        <w:numPr>
          <w:ilvl w:val="0"/>
          <w:numId w:val="2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投标人应提交证明其有资格参加投标和中标后有能力履行合同的文件，并作为其投标文件的一部分。</w:t>
      </w:r>
    </w:p>
    <w:p w14:paraId="31EA5F3B">
      <w:pPr>
        <w:pStyle w:val="32"/>
        <w:numPr>
          <w:ilvl w:val="0"/>
          <w:numId w:val="2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投标人提交的资格证明文件应证明其满足本须知定义的合格投标人。</w:t>
      </w:r>
    </w:p>
    <w:p w14:paraId="38E3BD42">
      <w:pPr>
        <w:pStyle w:val="32"/>
        <w:numPr>
          <w:ilvl w:val="0"/>
          <w:numId w:val="11"/>
        </w:numPr>
        <w:tabs>
          <w:tab w:val="left" w:pos="426"/>
        </w:tabs>
        <w:spacing w:beforeLines="100" w:line="360" w:lineRule="auto"/>
        <w:ind w:firstLineChars="0"/>
        <w:rPr>
          <w:rFonts w:ascii="黑体" w:hAnsi="黑体" w:eastAsia="黑体"/>
          <w:b/>
          <w:color w:val="auto"/>
          <w:highlight w:val="none"/>
        </w:rPr>
      </w:pPr>
      <w:bookmarkStart w:id="19" w:name="_Toc357676126"/>
      <w:r>
        <w:rPr>
          <w:rFonts w:hint="eastAsia" w:ascii="黑体" w:hAnsi="黑体" w:eastAsia="黑体"/>
          <w:b/>
          <w:color w:val="auto"/>
          <w:highlight w:val="none"/>
        </w:rPr>
        <w:t>证明服务的合格性和符合招标文件规定的文件</w:t>
      </w:r>
      <w:bookmarkEnd w:id="19"/>
    </w:p>
    <w:p w14:paraId="58A27889">
      <w:pPr>
        <w:pStyle w:val="32"/>
        <w:numPr>
          <w:ilvl w:val="0"/>
          <w:numId w:val="2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投标人应提交证明文件，证明其拟投标的服务的合格性符合招标文件规定。该证明文件作为投标文件的一部分。</w:t>
      </w:r>
    </w:p>
    <w:p w14:paraId="65C109A0">
      <w:pPr>
        <w:pStyle w:val="32"/>
        <w:numPr>
          <w:ilvl w:val="0"/>
          <w:numId w:val="2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证明服务与招标文件的要求相一致的文件，可以是文字资料、图纸和数据，它包括：</w:t>
      </w:r>
    </w:p>
    <w:p w14:paraId="40F49F46">
      <w:pPr>
        <w:pStyle w:val="32"/>
        <w:numPr>
          <w:ilvl w:val="0"/>
          <w:numId w:val="2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服务主要内容、方案、质量、标准指标等的详细说明；</w:t>
      </w:r>
    </w:p>
    <w:p w14:paraId="21B3BC58">
      <w:pPr>
        <w:pStyle w:val="32"/>
        <w:numPr>
          <w:ilvl w:val="0"/>
          <w:numId w:val="2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对照招标文件服务内容与要求，逐条说明所提供服务已对招标文件的服务内容与要求作出了实质性的响应，并申明与服务内容与要求条文的偏差和例外。特别对有具体参数要求的指标，投标人须提供所投服务的具体参数值。投标人在阐述时应注意招标文件的服务内容、要求和标准。投标人在投标中要实质上满足或超过招标文件的要求。</w:t>
      </w:r>
    </w:p>
    <w:p w14:paraId="1F5DAFE6">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投标有效期</w:t>
      </w:r>
    </w:p>
    <w:p w14:paraId="1989B89D">
      <w:pPr>
        <w:pStyle w:val="32"/>
        <w:numPr>
          <w:ilvl w:val="0"/>
          <w:numId w:val="25"/>
        </w:numPr>
        <w:spacing w:line="360" w:lineRule="auto"/>
        <w:ind w:firstLineChars="0"/>
        <w:rPr>
          <w:rFonts w:ascii="黑体" w:hAnsi="黑体" w:eastAsia="黑体"/>
          <w:bCs/>
          <w:color w:val="auto"/>
          <w:spacing w:val="-2"/>
          <w:szCs w:val="21"/>
          <w:highlight w:val="none"/>
        </w:rPr>
      </w:pPr>
      <w:r>
        <w:rPr>
          <w:rFonts w:hint="eastAsia" w:ascii="黑体" w:hAnsi="黑体" w:eastAsia="黑体"/>
          <w:bCs/>
          <w:color w:val="auto"/>
          <w:spacing w:val="-2"/>
          <w:szCs w:val="21"/>
          <w:highlight w:val="none"/>
        </w:rPr>
        <w:t>投标应自</w:t>
      </w:r>
      <w:r>
        <w:rPr>
          <w:rFonts w:hint="eastAsia" w:ascii="黑体" w:hAnsi="黑体" w:eastAsia="黑体"/>
          <w:b/>
          <w:bCs/>
          <w:color w:val="auto"/>
          <w:szCs w:val="21"/>
          <w:highlight w:val="none"/>
          <w:u w:val="single"/>
        </w:rPr>
        <w:t>投标邀请函</w:t>
      </w:r>
      <w:r>
        <w:rPr>
          <w:rFonts w:hint="eastAsia" w:ascii="黑体" w:hAnsi="黑体" w:eastAsia="黑体"/>
          <w:bCs/>
          <w:color w:val="auto"/>
          <w:spacing w:val="-2"/>
          <w:szCs w:val="21"/>
          <w:highlight w:val="none"/>
        </w:rPr>
        <w:t>中规定的投标文件递交截止时间起，并在</w:t>
      </w:r>
      <w:r>
        <w:rPr>
          <w:rFonts w:hint="eastAsia" w:ascii="黑体" w:hAnsi="黑体" w:eastAsia="黑体"/>
          <w:bCs/>
          <w:color w:val="auto"/>
          <w:spacing w:val="-2"/>
          <w:szCs w:val="21"/>
          <w:highlight w:val="none"/>
          <w:u w:val="single"/>
        </w:rPr>
        <w:t xml:space="preserve"> </w:t>
      </w:r>
      <w:r>
        <w:rPr>
          <w:rFonts w:hint="eastAsia" w:ascii="黑体" w:hAnsi="黑体" w:eastAsia="黑体"/>
          <w:b/>
          <w:bCs/>
          <w:color w:val="auto"/>
          <w:spacing w:val="-2"/>
          <w:szCs w:val="21"/>
          <w:highlight w:val="none"/>
          <w:u w:val="single"/>
        </w:rPr>
        <w:t xml:space="preserve">投标须知前附表 </w:t>
      </w:r>
      <w:r>
        <w:rPr>
          <w:rFonts w:hint="eastAsia" w:ascii="黑体" w:hAnsi="黑体" w:eastAsia="黑体"/>
          <w:bCs/>
          <w:color w:val="auto"/>
          <w:spacing w:val="-2"/>
          <w:szCs w:val="21"/>
          <w:highlight w:val="none"/>
        </w:rPr>
        <w:t>中所述期限内保持有效。投标有效期不足的投标将被视为非实质性响应，视为无效投标。</w:t>
      </w:r>
    </w:p>
    <w:p w14:paraId="0A1F786C">
      <w:pPr>
        <w:pStyle w:val="32"/>
        <w:numPr>
          <w:ilvl w:val="0"/>
          <w:numId w:val="11"/>
        </w:numPr>
        <w:tabs>
          <w:tab w:val="left" w:pos="426"/>
        </w:tabs>
        <w:spacing w:beforeLines="100" w:line="360" w:lineRule="auto"/>
        <w:ind w:firstLineChars="0"/>
        <w:rPr>
          <w:rFonts w:ascii="黑体" w:hAnsi="黑体" w:eastAsia="黑体"/>
          <w:b/>
          <w:color w:val="auto"/>
          <w:highlight w:val="none"/>
        </w:rPr>
      </w:pPr>
      <w:bookmarkStart w:id="20" w:name="_Toc357676129"/>
      <w:r>
        <w:rPr>
          <w:rFonts w:hint="eastAsia" w:ascii="黑体" w:hAnsi="黑体" w:eastAsia="黑体"/>
          <w:b/>
          <w:color w:val="auto"/>
          <w:highlight w:val="none"/>
        </w:rPr>
        <w:t>投标文件的式样和签署</w:t>
      </w:r>
      <w:bookmarkEnd w:id="20"/>
    </w:p>
    <w:p w14:paraId="0BAEB4F1">
      <w:pPr>
        <w:pStyle w:val="32"/>
        <w:numPr>
          <w:ilvl w:val="0"/>
          <w:numId w:val="26"/>
        </w:numPr>
        <w:spacing w:afterLines="50"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投标文件的式样：投标人应准备一份投标文件</w:t>
      </w:r>
      <w:r>
        <w:rPr>
          <w:rFonts w:hint="eastAsia" w:ascii="黑体" w:hAnsi="黑体" w:eastAsia="黑体"/>
          <w:color w:val="auto"/>
          <w:szCs w:val="21"/>
          <w:highlight w:val="none"/>
          <w:lang w:val="zh-CN"/>
        </w:rPr>
        <w:t>（商务技术文件）</w:t>
      </w:r>
      <w:r>
        <w:rPr>
          <w:rFonts w:hint="eastAsia" w:ascii="黑体" w:hAnsi="黑体" w:eastAsia="黑体"/>
          <w:bCs/>
          <w:color w:val="auto"/>
          <w:szCs w:val="21"/>
          <w:highlight w:val="none"/>
        </w:rPr>
        <w:t>正本、电子文件、唱标信封和</w:t>
      </w:r>
      <w:r>
        <w:rPr>
          <w:rFonts w:hint="eastAsia" w:ascii="黑体" w:hAnsi="黑体" w:eastAsia="黑体"/>
          <w:bCs/>
          <w:color w:val="auto"/>
          <w:szCs w:val="21"/>
          <w:highlight w:val="none"/>
          <w:u w:val="single"/>
        </w:rPr>
        <w:t xml:space="preserve"> </w:t>
      </w:r>
      <w:r>
        <w:rPr>
          <w:rFonts w:hint="eastAsia" w:ascii="黑体" w:hAnsi="黑体" w:eastAsia="黑体"/>
          <w:b/>
          <w:bCs/>
          <w:color w:val="auto"/>
          <w:szCs w:val="21"/>
          <w:highlight w:val="none"/>
          <w:u w:val="single"/>
        </w:rPr>
        <w:t xml:space="preserve">投标须知前附表 </w:t>
      </w:r>
      <w:r>
        <w:rPr>
          <w:rFonts w:hint="eastAsia" w:ascii="黑体" w:hAnsi="黑体" w:eastAsia="黑体"/>
          <w:bCs/>
          <w:color w:val="auto"/>
          <w:szCs w:val="21"/>
          <w:highlight w:val="none"/>
        </w:rPr>
        <w:t>中规定数目的副本</w:t>
      </w:r>
      <w:r>
        <w:rPr>
          <w:rFonts w:hint="eastAsia" w:ascii="黑体" w:hAnsi="黑体" w:eastAsia="黑体"/>
          <w:color w:val="auto"/>
          <w:szCs w:val="21"/>
          <w:highlight w:val="none"/>
          <w:lang w:val="zh-CN"/>
        </w:rPr>
        <w:t>（商务技术文件）</w:t>
      </w:r>
      <w:r>
        <w:rPr>
          <w:rFonts w:hint="eastAsia" w:ascii="黑体" w:hAnsi="黑体" w:eastAsia="黑体"/>
          <w:bCs/>
          <w:color w:val="auto"/>
          <w:szCs w:val="21"/>
          <w:highlight w:val="none"/>
        </w:rPr>
        <w:t>，投标文件的副本可采用正本的复印件。每套投标文件须清楚地标明“正本”或“副本”。若副本与正本不符，以正本为准，装订如下：</w:t>
      </w: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525"/>
        <w:gridCol w:w="2550"/>
        <w:gridCol w:w="3742"/>
      </w:tblGrid>
      <w:tr w14:paraId="09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11" w:type="dxa"/>
            <w:vAlign w:val="center"/>
          </w:tcPr>
          <w:p w14:paraId="53F43AFE">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序号</w:t>
            </w:r>
          </w:p>
        </w:tc>
        <w:tc>
          <w:tcPr>
            <w:tcW w:w="1525" w:type="dxa"/>
            <w:vAlign w:val="center"/>
          </w:tcPr>
          <w:p w14:paraId="0B18895F">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投标文件名称</w:t>
            </w:r>
          </w:p>
        </w:tc>
        <w:tc>
          <w:tcPr>
            <w:tcW w:w="2550" w:type="dxa"/>
            <w:vAlign w:val="center"/>
          </w:tcPr>
          <w:p w14:paraId="0E38705F">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装订</w:t>
            </w:r>
          </w:p>
        </w:tc>
        <w:tc>
          <w:tcPr>
            <w:tcW w:w="3742" w:type="dxa"/>
            <w:vAlign w:val="center"/>
          </w:tcPr>
          <w:p w14:paraId="78100DE3">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备注</w:t>
            </w:r>
          </w:p>
        </w:tc>
      </w:tr>
      <w:tr w14:paraId="5436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11" w:type="dxa"/>
            <w:vAlign w:val="center"/>
          </w:tcPr>
          <w:p w14:paraId="762FF592">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1</w:t>
            </w:r>
          </w:p>
        </w:tc>
        <w:tc>
          <w:tcPr>
            <w:tcW w:w="1525" w:type="dxa"/>
            <w:vAlign w:val="center"/>
          </w:tcPr>
          <w:p w14:paraId="033316AC">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唱标信封</w:t>
            </w:r>
          </w:p>
        </w:tc>
        <w:tc>
          <w:tcPr>
            <w:tcW w:w="2550" w:type="dxa"/>
            <w:vMerge w:val="restart"/>
            <w:vAlign w:val="center"/>
          </w:tcPr>
          <w:p w14:paraId="6C5D765D">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独立装订、合并密封</w:t>
            </w:r>
          </w:p>
        </w:tc>
        <w:tc>
          <w:tcPr>
            <w:tcW w:w="3742" w:type="dxa"/>
            <w:vAlign w:val="center"/>
          </w:tcPr>
          <w:p w14:paraId="1B38B0B1">
            <w:pPr>
              <w:spacing w:line="360" w:lineRule="auto"/>
              <w:ind w:firstLine="210" w:firstLineChars="100"/>
              <w:jc w:val="center"/>
              <w:rPr>
                <w:rFonts w:ascii="黑体" w:hAnsi="黑体" w:eastAsia="黑体" w:cs="宋体"/>
                <w:color w:val="auto"/>
                <w:szCs w:val="21"/>
                <w:highlight w:val="none"/>
              </w:rPr>
            </w:pPr>
            <w:r>
              <w:rPr>
                <w:rFonts w:hint="eastAsia" w:ascii="黑体" w:hAnsi="黑体" w:eastAsia="黑体" w:cs="宋体"/>
                <w:color w:val="auto"/>
                <w:szCs w:val="21"/>
                <w:highlight w:val="none"/>
              </w:rPr>
              <w:t>含投标函、开标一览表等，详见招标文件第七部分第三唱标信封之唱标信封内装</w:t>
            </w:r>
          </w:p>
        </w:tc>
      </w:tr>
      <w:tr w14:paraId="7A3A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vAlign w:val="center"/>
          </w:tcPr>
          <w:p w14:paraId="0E5154C2">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2</w:t>
            </w:r>
          </w:p>
        </w:tc>
        <w:tc>
          <w:tcPr>
            <w:tcW w:w="1525" w:type="dxa"/>
            <w:vAlign w:val="center"/>
          </w:tcPr>
          <w:p w14:paraId="201999A2">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电子文件</w:t>
            </w:r>
          </w:p>
        </w:tc>
        <w:tc>
          <w:tcPr>
            <w:tcW w:w="2550" w:type="dxa"/>
            <w:vMerge w:val="continue"/>
            <w:vAlign w:val="center"/>
          </w:tcPr>
          <w:p w14:paraId="0E9062D2">
            <w:pPr>
              <w:spacing w:line="360" w:lineRule="auto"/>
              <w:jc w:val="center"/>
              <w:rPr>
                <w:rFonts w:ascii="黑体" w:hAnsi="黑体" w:eastAsia="黑体" w:cs="宋体"/>
                <w:color w:val="auto"/>
                <w:szCs w:val="21"/>
                <w:highlight w:val="none"/>
              </w:rPr>
            </w:pPr>
          </w:p>
        </w:tc>
        <w:tc>
          <w:tcPr>
            <w:tcW w:w="3742" w:type="dxa"/>
            <w:vAlign w:val="center"/>
          </w:tcPr>
          <w:p w14:paraId="2026FD36">
            <w:pPr>
              <w:spacing w:line="360" w:lineRule="auto"/>
              <w:ind w:firstLine="210" w:firstLineChars="100"/>
              <w:jc w:val="center"/>
              <w:rPr>
                <w:rFonts w:ascii="黑体" w:hAnsi="黑体" w:eastAsia="黑体" w:cs="宋体"/>
                <w:color w:val="auto"/>
                <w:szCs w:val="21"/>
                <w:highlight w:val="none"/>
              </w:rPr>
            </w:pPr>
            <w:r>
              <w:rPr>
                <w:rFonts w:hint="eastAsia" w:ascii="黑体" w:hAnsi="黑体" w:eastAsia="黑体" w:cs="宋体"/>
                <w:color w:val="auto"/>
                <w:szCs w:val="21"/>
                <w:highlight w:val="none"/>
              </w:rPr>
              <w:t>商务技术文件</w:t>
            </w:r>
          </w:p>
        </w:tc>
      </w:tr>
      <w:tr w14:paraId="10BB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vAlign w:val="center"/>
          </w:tcPr>
          <w:p w14:paraId="71A27698">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3</w:t>
            </w:r>
          </w:p>
        </w:tc>
        <w:tc>
          <w:tcPr>
            <w:tcW w:w="1525" w:type="dxa"/>
            <w:vAlign w:val="center"/>
          </w:tcPr>
          <w:p w14:paraId="03474C12">
            <w:pPr>
              <w:spacing w:line="360" w:lineRule="auto"/>
              <w:jc w:val="center"/>
              <w:rPr>
                <w:rFonts w:ascii="黑体" w:hAnsi="黑体" w:eastAsia="黑体" w:cs="宋体"/>
                <w:color w:val="auto"/>
                <w:spacing w:val="-6"/>
                <w:szCs w:val="21"/>
                <w:highlight w:val="none"/>
              </w:rPr>
            </w:pPr>
            <w:r>
              <w:rPr>
                <w:rFonts w:hint="eastAsia" w:ascii="黑体" w:hAnsi="黑体" w:eastAsia="黑体" w:cs="宋体"/>
                <w:color w:val="auto"/>
                <w:spacing w:val="-6"/>
                <w:szCs w:val="21"/>
                <w:highlight w:val="none"/>
              </w:rPr>
              <w:t>商务技术文件</w:t>
            </w:r>
          </w:p>
        </w:tc>
        <w:tc>
          <w:tcPr>
            <w:tcW w:w="2550" w:type="dxa"/>
            <w:vAlign w:val="center"/>
          </w:tcPr>
          <w:p w14:paraId="310DA31E">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独立装订成册、合并密封</w:t>
            </w:r>
          </w:p>
        </w:tc>
        <w:tc>
          <w:tcPr>
            <w:tcW w:w="3742" w:type="dxa"/>
            <w:vAlign w:val="center"/>
          </w:tcPr>
          <w:p w14:paraId="5376F945">
            <w:pPr>
              <w:spacing w:line="360" w:lineRule="auto"/>
              <w:jc w:val="center"/>
              <w:rPr>
                <w:rFonts w:ascii="黑体" w:hAnsi="黑体" w:eastAsia="黑体" w:cs="宋体"/>
                <w:color w:val="auto"/>
                <w:szCs w:val="21"/>
                <w:highlight w:val="none"/>
              </w:rPr>
            </w:pPr>
            <w:r>
              <w:rPr>
                <w:rFonts w:hint="eastAsia" w:ascii="黑体" w:hAnsi="黑体" w:eastAsia="黑体" w:cs="宋体"/>
                <w:color w:val="auto"/>
                <w:szCs w:val="21"/>
                <w:highlight w:val="none"/>
              </w:rPr>
              <w:t>含正、副本</w:t>
            </w:r>
          </w:p>
        </w:tc>
      </w:tr>
    </w:tbl>
    <w:p w14:paraId="28DBCA15">
      <w:pPr>
        <w:pStyle w:val="32"/>
        <w:numPr>
          <w:ilvl w:val="0"/>
          <w:numId w:val="26"/>
        </w:numPr>
        <w:spacing w:line="360" w:lineRule="auto"/>
        <w:ind w:firstLineChars="0"/>
        <w:rPr>
          <w:rFonts w:ascii="黑体" w:hAnsi="黑体" w:eastAsia="黑体"/>
          <w:bCs/>
          <w:color w:val="auto"/>
          <w:szCs w:val="21"/>
          <w:highlight w:val="none"/>
        </w:rPr>
      </w:pPr>
      <w:bookmarkStart w:id="21" w:name="OLE_LINK1"/>
      <w:r>
        <w:rPr>
          <w:rFonts w:ascii="黑体" w:hAnsi="黑体" w:eastAsia="黑体"/>
          <w:bCs/>
          <w:color w:val="auto"/>
          <w:szCs w:val="21"/>
          <w:highlight w:val="none"/>
        </w:rPr>
        <w:t>电子文件用MS WORD/EXCEL 2003</w:t>
      </w:r>
      <w:r>
        <w:rPr>
          <w:rFonts w:hint="eastAsia" w:ascii="黑体" w:hAnsi="黑体" w:eastAsia="黑体"/>
          <w:bCs/>
          <w:color w:val="auto"/>
          <w:szCs w:val="21"/>
          <w:highlight w:val="none"/>
        </w:rPr>
        <w:t>或以上</w:t>
      </w:r>
      <w:r>
        <w:rPr>
          <w:rFonts w:ascii="黑体" w:hAnsi="黑体" w:eastAsia="黑体"/>
          <w:bCs/>
          <w:color w:val="auto"/>
          <w:szCs w:val="21"/>
          <w:highlight w:val="none"/>
        </w:rPr>
        <w:t>简体中文版制作，内容包括：由投标人自行制作的与正本文件一致的所有文件。电子文件</w:t>
      </w:r>
      <w:r>
        <w:rPr>
          <w:rFonts w:hint="eastAsia" w:ascii="黑体" w:hAnsi="黑体" w:eastAsia="黑体"/>
          <w:bCs/>
          <w:color w:val="auto"/>
          <w:szCs w:val="21"/>
          <w:highlight w:val="none"/>
        </w:rPr>
        <w:t>由</w:t>
      </w:r>
      <w:r>
        <w:rPr>
          <w:rFonts w:ascii="黑体" w:hAnsi="黑体" w:eastAsia="黑体"/>
          <w:bCs/>
          <w:color w:val="auto"/>
          <w:szCs w:val="21"/>
          <w:highlight w:val="none"/>
        </w:rPr>
        <w:t>CD-R光盘</w:t>
      </w:r>
      <w:r>
        <w:rPr>
          <w:rFonts w:hint="eastAsia" w:ascii="黑体" w:hAnsi="黑体" w:eastAsia="黑体"/>
          <w:bCs/>
          <w:color w:val="auto"/>
          <w:szCs w:val="21"/>
          <w:highlight w:val="none"/>
        </w:rPr>
        <w:t>或优盘</w:t>
      </w:r>
      <w:r>
        <w:rPr>
          <w:rFonts w:ascii="黑体" w:hAnsi="黑体" w:eastAsia="黑体"/>
          <w:bCs/>
          <w:color w:val="auto"/>
          <w:szCs w:val="21"/>
          <w:highlight w:val="none"/>
        </w:rPr>
        <w:t>储存</w:t>
      </w:r>
      <w:r>
        <w:rPr>
          <w:rFonts w:hint="eastAsia" w:ascii="黑体" w:hAnsi="黑体" w:eastAsia="黑体"/>
          <w:bCs/>
          <w:color w:val="auto"/>
          <w:szCs w:val="21"/>
          <w:highlight w:val="none"/>
        </w:rPr>
        <w:t>，放在唱标信封内。</w:t>
      </w:r>
    </w:p>
    <w:bookmarkEnd w:id="21"/>
    <w:p w14:paraId="3F9ABC8A">
      <w:pPr>
        <w:pStyle w:val="32"/>
        <w:numPr>
          <w:ilvl w:val="0"/>
          <w:numId w:val="2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投标文件的签署：</w:t>
      </w:r>
    </w:p>
    <w:p w14:paraId="20A27C06">
      <w:pPr>
        <w:pStyle w:val="32"/>
        <w:numPr>
          <w:ilvl w:val="0"/>
          <w:numId w:val="2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文件的正本需打印或用不褪色墨水书写，投标文件要求签名的由法定(负责人)代表人或经其正式授权的代表签字，投标文件要求盖章的需加盖投标人公章，副本可由正本复印而成，与正本具有同等法律效力。授权代表须将以书面形式出具的《法定(负责人)代表人授权委托书》附在投标文件中；</w:t>
      </w:r>
    </w:p>
    <w:p w14:paraId="182B5E0D">
      <w:pPr>
        <w:pStyle w:val="32"/>
        <w:numPr>
          <w:ilvl w:val="0"/>
          <w:numId w:val="2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投标文件中的任何重要的插字、涂改和增删，必须由法定(负责人)代表人或经其正式授权的代表在旁边签署。</w:t>
      </w:r>
    </w:p>
    <w:p w14:paraId="7777D205">
      <w:pPr>
        <w:pStyle w:val="32"/>
        <w:numPr>
          <w:ilvl w:val="0"/>
          <w:numId w:val="2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投标文件的“正本”及所有“副本”的封面及骑缝均须由投标人加盖投标人公章。</w:t>
      </w:r>
    </w:p>
    <w:p w14:paraId="3163692F">
      <w:pPr>
        <w:pStyle w:val="32"/>
        <w:numPr>
          <w:ilvl w:val="0"/>
          <w:numId w:val="10"/>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投标文件的递交</w:t>
      </w:r>
    </w:p>
    <w:p w14:paraId="2C6ED749">
      <w:pPr>
        <w:pStyle w:val="32"/>
        <w:numPr>
          <w:ilvl w:val="0"/>
          <w:numId w:val="11"/>
        </w:numPr>
        <w:tabs>
          <w:tab w:val="left" w:pos="426"/>
        </w:tabs>
        <w:spacing w:line="360" w:lineRule="auto"/>
        <w:ind w:firstLineChars="0"/>
        <w:rPr>
          <w:rFonts w:ascii="黑体" w:hAnsi="黑体" w:eastAsia="黑体"/>
          <w:b/>
          <w:color w:val="auto"/>
          <w:highlight w:val="none"/>
        </w:rPr>
      </w:pPr>
      <w:bookmarkStart w:id="22" w:name="_Toc357676131"/>
      <w:r>
        <w:rPr>
          <w:rFonts w:hint="eastAsia" w:ascii="黑体" w:hAnsi="黑体" w:eastAsia="黑体"/>
          <w:b/>
          <w:color w:val="auto"/>
          <w:highlight w:val="none"/>
        </w:rPr>
        <w:t>投标文件的密封和标记</w:t>
      </w:r>
      <w:bookmarkEnd w:id="22"/>
    </w:p>
    <w:p w14:paraId="7E2E326A">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为方便开标唱标，投标人应将投标函、开标一览表、法定(负责人)代表人身份证明书或法定(负责人)代表人授权委托书、电子文件单独一起密封提交，并在信封上标明“唱标信封”的字样。投标人应将投标文件商务技术文件（含正、副本）一起密封，且在信封上标明“商务技术文件</w:t>
      </w:r>
      <w:r>
        <w:rPr>
          <w:rFonts w:ascii="黑体" w:hAnsi="黑体" w:eastAsia="黑体"/>
          <w:bCs/>
          <w:color w:val="auto"/>
          <w:szCs w:val="21"/>
          <w:highlight w:val="none"/>
        </w:rPr>
        <w:t>”</w:t>
      </w:r>
      <w:r>
        <w:rPr>
          <w:rFonts w:hint="eastAsia" w:ascii="黑体" w:hAnsi="黑体" w:eastAsia="黑体"/>
          <w:bCs/>
          <w:color w:val="auto"/>
          <w:szCs w:val="21"/>
          <w:highlight w:val="none"/>
        </w:rPr>
        <w:t>的字样。</w:t>
      </w:r>
    </w:p>
    <w:p w14:paraId="333C9242">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投标文件封装</w:t>
      </w:r>
    </w:p>
    <w:p w14:paraId="6A71E9BF">
      <w:pPr>
        <w:pStyle w:val="32"/>
        <w:numPr>
          <w:ilvl w:val="0"/>
          <w:numId w:val="2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投标人应将投标文件用信封密封，并加盖投标人公章；</w:t>
      </w:r>
    </w:p>
    <w:p w14:paraId="07B86CCB">
      <w:pPr>
        <w:pStyle w:val="32"/>
        <w:numPr>
          <w:ilvl w:val="0"/>
          <w:numId w:val="2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包装封套均应注明：</w:t>
      </w:r>
    </w:p>
    <w:p w14:paraId="2949C4CE">
      <w:pPr>
        <w:pStyle w:val="32"/>
        <w:spacing w:line="360" w:lineRule="auto"/>
        <w:ind w:left="420" w:firstLine="0" w:firstLineChars="0"/>
        <w:rPr>
          <w:rFonts w:ascii="黑体" w:hAnsi="黑体" w:eastAsia="黑体"/>
          <w:color w:val="auto"/>
          <w:szCs w:val="21"/>
          <w:highlight w:val="none"/>
          <w:u w:val="single"/>
        </w:rPr>
      </w:pPr>
      <w:r>
        <w:rPr>
          <w:rFonts w:hint="eastAsia" w:ascii="黑体" w:hAnsi="黑体" w:eastAsia="黑体"/>
          <w:bCs/>
          <w:color w:val="auto"/>
          <w:szCs w:val="21"/>
          <w:highlight w:val="none"/>
        </w:rPr>
        <w:t>收件人名称：</w:t>
      </w:r>
      <w:r>
        <w:rPr>
          <w:rFonts w:hint="eastAsia" w:ascii="黑体" w:hAnsi="黑体" w:eastAsia="黑体"/>
          <w:color w:val="auto"/>
          <w:szCs w:val="21"/>
          <w:highlight w:val="none"/>
          <w:u w:val="single"/>
          <w:lang w:eastAsia="zh-CN"/>
        </w:rPr>
        <w:t>东莞松山湖高新技术产业开发区管理委员会</w:t>
      </w:r>
      <w:r>
        <w:rPr>
          <w:rFonts w:hint="eastAsia" w:ascii="黑体" w:hAnsi="黑体" w:eastAsia="黑体"/>
          <w:color w:val="auto"/>
          <w:szCs w:val="21"/>
          <w:highlight w:val="none"/>
          <w:u w:val="single"/>
        </w:rPr>
        <w:t xml:space="preserve">  </w:t>
      </w:r>
    </w:p>
    <w:p w14:paraId="558366EB">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color w:val="auto"/>
          <w:szCs w:val="21"/>
          <w:highlight w:val="none"/>
        </w:rPr>
        <w:t>投标人名称：</w:t>
      </w:r>
      <w:r>
        <w:rPr>
          <w:rFonts w:hint="eastAsia" w:ascii="黑体" w:hAnsi="黑体" w:eastAsia="黑体"/>
          <w:color w:val="auto"/>
          <w:szCs w:val="21"/>
          <w:highlight w:val="none"/>
          <w:u w:val="single"/>
        </w:rPr>
        <w:t xml:space="preserve">                                   </w:t>
      </w:r>
    </w:p>
    <w:p w14:paraId="5E8B7E1C">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项目名称：</w:t>
      </w:r>
      <w:r>
        <w:rPr>
          <w:rFonts w:hint="eastAsia" w:ascii="黑体" w:hAnsi="黑体" w:eastAsia="黑体"/>
          <w:bCs/>
          <w:color w:val="auto"/>
          <w:szCs w:val="21"/>
          <w:highlight w:val="none"/>
          <w:u w:val="single"/>
        </w:rPr>
        <w:t xml:space="preserve">         （详见投标邀请函）          </w:t>
      </w:r>
    </w:p>
    <w:p w14:paraId="52D50BC3">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项目编号：</w:t>
      </w:r>
      <w:r>
        <w:rPr>
          <w:rFonts w:hint="eastAsia" w:ascii="黑体" w:hAnsi="黑体" w:eastAsia="黑体"/>
          <w:bCs/>
          <w:color w:val="auto"/>
          <w:szCs w:val="21"/>
          <w:highlight w:val="none"/>
          <w:u w:val="single"/>
        </w:rPr>
        <w:t xml:space="preserve">         （详见投标邀请函）          </w:t>
      </w:r>
    </w:p>
    <w:p w14:paraId="3356291C">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注明：“</w:t>
      </w:r>
      <w:r>
        <w:rPr>
          <w:rFonts w:hint="eastAsia" w:ascii="黑体" w:hAnsi="黑体" w:eastAsia="黑体"/>
          <w:bCs/>
          <w:color w:val="auto"/>
          <w:szCs w:val="21"/>
          <w:highlight w:val="none"/>
          <w:u w:val="single"/>
        </w:rPr>
        <w:t xml:space="preserve">于   年  月  日北京时间   ：  </w:t>
      </w:r>
      <w:r>
        <w:rPr>
          <w:rFonts w:hint="eastAsia" w:ascii="黑体" w:hAnsi="黑体" w:eastAsia="黑体"/>
          <w:bCs/>
          <w:color w:val="auto"/>
          <w:szCs w:val="21"/>
          <w:highlight w:val="none"/>
        </w:rPr>
        <w:t>（详见投标邀请函）之前不得启封”的字样。</w:t>
      </w:r>
    </w:p>
    <w:p w14:paraId="6C574B11">
      <w:pPr>
        <w:pStyle w:val="32"/>
        <w:numPr>
          <w:ilvl w:val="0"/>
          <w:numId w:val="2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如果未按本须知上款要求加写标记和密封，采购代人对误投或提前启封概不负责。</w:t>
      </w:r>
    </w:p>
    <w:p w14:paraId="779E044E">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投标截止期</w:t>
      </w:r>
    </w:p>
    <w:p w14:paraId="2D096F2C">
      <w:pPr>
        <w:pStyle w:val="32"/>
        <w:numPr>
          <w:ilvl w:val="0"/>
          <w:numId w:val="2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投标人应在不迟于</w:t>
      </w:r>
      <w:r>
        <w:rPr>
          <w:rFonts w:hint="eastAsia" w:ascii="黑体" w:hAnsi="黑体" w:eastAsia="黑体"/>
          <w:b/>
          <w:bCs/>
          <w:color w:val="auto"/>
          <w:szCs w:val="21"/>
          <w:highlight w:val="none"/>
          <w:u w:val="single"/>
        </w:rPr>
        <w:t>投标邀请函</w:t>
      </w:r>
      <w:r>
        <w:rPr>
          <w:rFonts w:hint="eastAsia" w:ascii="黑体" w:hAnsi="黑体" w:eastAsia="黑体"/>
          <w:bCs/>
          <w:color w:val="auto"/>
          <w:szCs w:val="21"/>
          <w:highlight w:val="none"/>
        </w:rPr>
        <w:t>中规定的截止日期和时间将投标文件递交至采购人，递交地点应是</w:t>
      </w:r>
      <w:r>
        <w:rPr>
          <w:rFonts w:hint="eastAsia" w:ascii="黑体" w:hAnsi="黑体" w:eastAsia="黑体"/>
          <w:b/>
          <w:bCs/>
          <w:color w:val="auto"/>
          <w:szCs w:val="21"/>
          <w:highlight w:val="none"/>
          <w:u w:val="single"/>
        </w:rPr>
        <w:t>投标邀请函</w:t>
      </w:r>
      <w:r>
        <w:rPr>
          <w:rFonts w:hint="eastAsia" w:ascii="黑体" w:hAnsi="黑体" w:eastAsia="黑体"/>
          <w:bCs/>
          <w:color w:val="auto"/>
          <w:szCs w:val="21"/>
          <w:highlight w:val="none"/>
        </w:rPr>
        <w:t>中指明的地址。</w:t>
      </w:r>
    </w:p>
    <w:p w14:paraId="250ADE69">
      <w:pPr>
        <w:pStyle w:val="32"/>
        <w:numPr>
          <w:ilvl w:val="0"/>
          <w:numId w:val="2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为使投标人准备投标时有充分时间对招标文件的修改部分进行研究，采购人可适当推迟投标截止期，但应发布公告并书面通知所有购买招标文件的潜在投标人。在此情况下，采购单位和投标人受投标截止期制约的所有权利和义务均应延长至新的截止期。</w:t>
      </w:r>
    </w:p>
    <w:p w14:paraId="3A02C404">
      <w:pPr>
        <w:pStyle w:val="32"/>
        <w:numPr>
          <w:ilvl w:val="0"/>
          <w:numId w:val="2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采购人将拒绝在规定的投标截止期后收到的任何投标文件。</w:t>
      </w:r>
    </w:p>
    <w:p w14:paraId="212B3629">
      <w:pPr>
        <w:pStyle w:val="32"/>
        <w:numPr>
          <w:ilvl w:val="0"/>
          <w:numId w:val="11"/>
        </w:numPr>
        <w:tabs>
          <w:tab w:val="left" w:pos="426"/>
        </w:tabs>
        <w:spacing w:beforeLines="100" w:line="360" w:lineRule="auto"/>
        <w:ind w:firstLineChars="0"/>
        <w:rPr>
          <w:rFonts w:ascii="黑体" w:hAnsi="黑体" w:eastAsia="黑体"/>
          <w:b/>
          <w:color w:val="auto"/>
          <w:highlight w:val="none"/>
        </w:rPr>
      </w:pPr>
      <w:bookmarkStart w:id="23" w:name="_Toc357676133"/>
      <w:r>
        <w:rPr>
          <w:rFonts w:hint="eastAsia" w:ascii="黑体" w:hAnsi="黑体" w:eastAsia="黑体"/>
          <w:b/>
          <w:color w:val="auto"/>
          <w:highlight w:val="none"/>
        </w:rPr>
        <w:t>投标文件的修改和撤回</w:t>
      </w:r>
      <w:bookmarkEnd w:id="23"/>
    </w:p>
    <w:p w14:paraId="1698D70E">
      <w:pPr>
        <w:pStyle w:val="32"/>
        <w:numPr>
          <w:ilvl w:val="0"/>
          <w:numId w:val="30"/>
        </w:numPr>
        <w:autoSpaceDE w:val="0"/>
        <w:autoSpaceDN w:val="0"/>
        <w:adjustRightInd w:val="0"/>
        <w:snapToGrid w:val="0"/>
        <w:spacing w:line="360" w:lineRule="auto"/>
        <w:ind w:firstLineChars="0"/>
        <w:jc w:val="left"/>
        <w:rPr>
          <w:rFonts w:ascii="黑体" w:hAnsi="黑体" w:eastAsia="黑体"/>
          <w:bCs/>
          <w:color w:val="auto"/>
          <w:szCs w:val="21"/>
          <w:highlight w:val="none"/>
        </w:rPr>
      </w:pPr>
      <w:r>
        <w:rPr>
          <w:rFonts w:hint="eastAsia" w:ascii="黑体" w:hAnsi="黑体" w:eastAsia="黑体"/>
          <w:bCs/>
          <w:color w:val="auto"/>
          <w:spacing w:val="-2"/>
          <w:szCs w:val="21"/>
          <w:highlight w:val="none"/>
        </w:rPr>
        <w:t>投</w:t>
      </w:r>
      <w:r>
        <w:rPr>
          <w:rFonts w:hint="eastAsia" w:ascii="黑体" w:hAnsi="黑体" w:eastAsia="黑体"/>
          <w:bCs/>
          <w:color w:val="auto"/>
          <w:szCs w:val="21"/>
          <w:highlight w:val="none"/>
        </w:rPr>
        <w:t>标人在投标截止时间前，可以对所递交的投标文件进行补充、修改或者撤回，并书面通知采购人。补充、修改的内容应当按照采购文件要求签署、盖章，密封后，作为投标文件的组成部分。</w:t>
      </w:r>
    </w:p>
    <w:p w14:paraId="1D208A9F">
      <w:pPr>
        <w:pStyle w:val="32"/>
        <w:numPr>
          <w:ilvl w:val="0"/>
          <w:numId w:val="30"/>
        </w:numPr>
        <w:autoSpaceDE w:val="0"/>
        <w:autoSpaceDN w:val="0"/>
        <w:adjustRightInd w:val="0"/>
        <w:snapToGrid w:val="0"/>
        <w:spacing w:line="360" w:lineRule="auto"/>
        <w:ind w:firstLineChars="0"/>
        <w:jc w:val="left"/>
        <w:rPr>
          <w:rFonts w:ascii="黑体" w:hAnsi="黑体" w:eastAsia="黑体"/>
          <w:bCs/>
          <w:color w:val="auto"/>
          <w:szCs w:val="21"/>
          <w:highlight w:val="none"/>
        </w:rPr>
      </w:pPr>
      <w:r>
        <w:rPr>
          <w:rFonts w:hint="eastAsia" w:ascii="黑体" w:hAnsi="黑体" w:eastAsia="黑体"/>
          <w:bCs/>
          <w:color w:val="auto"/>
          <w:szCs w:val="21"/>
          <w:highlight w:val="none"/>
        </w:rPr>
        <w:t>在投标截止时间之后，投标人不得对其投标文件做任何修改和补充。</w:t>
      </w:r>
    </w:p>
    <w:p w14:paraId="172C0E06">
      <w:pPr>
        <w:pStyle w:val="32"/>
        <w:numPr>
          <w:ilvl w:val="0"/>
          <w:numId w:val="10"/>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开标与评标准则</w:t>
      </w:r>
    </w:p>
    <w:p w14:paraId="43BA94F8">
      <w:pPr>
        <w:pStyle w:val="32"/>
        <w:numPr>
          <w:ilvl w:val="0"/>
          <w:numId w:val="11"/>
        </w:numPr>
        <w:tabs>
          <w:tab w:val="left" w:pos="426"/>
        </w:tabs>
        <w:spacing w:line="360" w:lineRule="auto"/>
        <w:ind w:firstLineChars="0"/>
        <w:rPr>
          <w:rFonts w:ascii="黑体" w:hAnsi="黑体" w:eastAsia="黑体"/>
          <w:b/>
          <w:color w:val="auto"/>
          <w:highlight w:val="none"/>
        </w:rPr>
      </w:pPr>
      <w:r>
        <w:rPr>
          <w:rFonts w:hint="eastAsia" w:ascii="黑体" w:hAnsi="黑体" w:eastAsia="黑体"/>
          <w:b/>
          <w:color w:val="auto"/>
          <w:highlight w:val="none"/>
        </w:rPr>
        <w:t>开标</w:t>
      </w:r>
    </w:p>
    <w:p w14:paraId="60F62E52">
      <w:pPr>
        <w:pStyle w:val="32"/>
        <w:numPr>
          <w:ilvl w:val="0"/>
          <w:numId w:val="3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投标人不足</w:t>
      </w:r>
      <w:r>
        <w:rPr>
          <w:rFonts w:hint="eastAsia" w:ascii="黑体" w:hAnsi="黑体" w:eastAsia="黑体"/>
          <w:bCs/>
          <w:color w:val="auto"/>
          <w:szCs w:val="21"/>
          <w:highlight w:val="none"/>
          <w:lang w:val="en-US" w:eastAsia="zh-CN"/>
        </w:rPr>
        <w:t>13家</w:t>
      </w:r>
      <w:r>
        <w:rPr>
          <w:rFonts w:hint="eastAsia" w:ascii="黑体" w:hAnsi="黑体" w:eastAsia="黑体"/>
          <w:bCs/>
          <w:color w:val="auto"/>
          <w:szCs w:val="21"/>
          <w:highlight w:val="none"/>
        </w:rPr>
        <w:t>的，不得开标。</w:t>
      </w:r>
    </w:p>
    <w:p w14:paraId="1796D330">
      <w:pPr>
        <w:pStyle w:val="32"/>
        <w:numPr>
          <w:ilvl w:val="0"/>
          <w:numId w:val="31"/>
        </w:numPr>
        <w:spacing w:line="360" w:lineRule="auto"/>
        <w:ind w:firstLineChars="0"/>
        <w:rPr>
          <w:rFonts w:hint="eastAsia" w:ascii="黑体" w:hAnsi="黑体" w:eastAsia="黑体"/>
          <w:bCs/>
          <w:color w:val="auto"/>
          <w:szCs w:val="21"/>
          <w:highlight w:val="none"/>
        </w:rPr>
      </w:pPr>
      <w:r>
        <w:rPr>
          <w:rFonts w:hint="eastAsia" w:ascii="黑体" w:hAnsi="黑体" w:eastAsia="黑体"/>
          <w:bCs/>
          <w:color w:val="auto"/>
          <w:szCs w:val="21"/>
          <w:highlight w:val="none"/>
          <w:lang w:eastAsia="zh-CN"/>
        </w:rPr>
        <w:t>本次采购不组织现场唱标，投标</w:t>
      </w:r>
      <w:r>
        <w:rPr>
          <w:rFonts w:hint="eastAsia" w:ascii="黑体" w:hAnsi="黑体" w:eastAsia="黑体"/>
          <w:bCs/>
          <w:color w:val="auto"/>
          <w:szCs w:val="21"/>
          <w:highlight w:val="none"/>
        </w:rPr>
        <w:t>人授权代表</w:t>
      </w:r>
      <w:r>
        <w:rPr>
          <w:rFonts w:hint="eastAsia" w:ascii="黑体" w:hAnsi="黑体" w:eastAsia="黑体"/>
          <w:bCs/>
          <w:color w:val="auto"/>
          <w:szCs w:val="21"/>
          <w:highlight w:val="none"/>
          <w:lang w:val="en-US" w:eastAsia="zh-CN"/>
        </w:rPr>
        <w:t>（</w:t>
      </w:r>
      <w:r>
        <w:rPr>
          <w:rFonts w:hint="eastAsia" w:ascii="黑体" w:hAnsi="黑体" w:eastAsia="黑体"/>
          <w:bCs/>
          <w:color w:val="auto"/>
          <w:szCs w:val="21"/>
          <w:highlight w:val="none"/>
        </w:rPr>
        <w:t>携带有效身份证</w:t>
      </w:r>
      <w:r>
        <w:rPr>
          <w:rFonts w:hint="eastAsia" w:ascii="黑体" w:hAnsi="黑体" w:eastAsia="黑体"/>
          <w:bCs/>
          <w:color w:val="auto"/>
          <w:szCs w:val="21"/>
          <w:highlight w:val="none"/>
          <w:lang w:val="en-US" w:eastAsia="zh-CN"/>
        </w:rPr>
        <w:t>）</w:t>
      </w:r>
      <w:r>
        <w:rPr>
          <w:rFonts w:hint="eastAsia" w:ascii="黑体" w:hAnsi="黑体" w:eastAsia="黑体"/>
          <w:bCs/>
          <w:color w:val="auto"/>
          <w:szCs w:val="21"/>
          <w:highlight w:val="none"/>
          <w:lang w:eastAsia="zh-CN"/>
        </w:rPr>
        <w:t>递交投标文件后即可离开，唱标结果将与中标结果一并公示</w:t>
      </w:r>
      <w:r>
        <w:rPr>
          <w:rFonts w:hint="eastAsia" w:ascii="黑体" w:hAnsi="黑体" w:eastAsia="黑体"/>
          <w:bCs/>
          <w:color w:val="auto"/>
          <w:szCs w:val="21"/>
          <w:highlight w:val="none"/>
        </w:rPr>
        <w:t>。</w:t>
      </w:r>
    </w:p>
    <w:p w14:paraId="200DFC1A">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评标委员会和评标方法</w:t>
      </w:r>
    </w:p>
    <w:p w14:paraId="12E0F87A">
      <w:pPr>
        <w:pStyle w:val="32"/>
        <w:numPr>
          <w:ilvl w:val="0"/>
          <w:numId w:val="3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评标由参考采购法律、法规、规章、政策的规定，组建的评标委员会负责。</w:t>
      </w:r>
    </w:p>
    <w:p w14:paraId="3F865280">
      <w:pPr>
        <w:pStyle w:val="32"/>
        <w:numPr>
          <w:ilvl w:val="0"/>
          <w:numId w:val="3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评标委员会由采购人代表和评审专家组成，成员人数应为5人以上单数。</w:t>
      </w:r>
    </w:p>
    <w:p w14:paraId="4D547400">
      <w:pPr>
        <w:pStyle w:val="32"/>
        <w:numPr>
          <w:ilvl w:val="0"/>
          <w:numId w:val="3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评标委员会将按照招标文件确定的评标方法进行评标。评标委员会对投标文件的评审分为符合性检查和商务技术评审。</w:t>
      </w:r>
    </w:p>
    <w:p w14:paraId="22DE08B3">
      <w:pPr>
        <w:pStyle w:val="32"/>
        <w:numPr>
          <w:ilvl w:val="0"/>
          <w:numId w:val="3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本次评标采用</w:t>
      </w:r>
      <w:r>
        <w:rPr>
          <w:rFonts w:hint="eastAsia" w:ascii="黑体" w:hAnsi="黑体" w:eastAsia="黑体"/>
          <w:b/>
          <w:bCs/>
          <w:color w:val="auto"/>
          <w:szCs w:val="21"/>
          <w:highlight w:val="none"/>
          <w:u w:val="single"/>
        </w:rPr>
        <w:t xml:space="preserve"> 投标须知前附表 </w:t>
      </w:r>
      <w:r>
        <w:rPr>
          <w:rFonts w:hint="eastAsia" w:ascii="黑体" w:hAnsi="黑体" w:eastAsia="黑体"/>
          <w:bCs/>
          <w:color w:val="auto"/>
          <w:szCs w:val="21"/>
          <w:highlight w:val="none"/>
        </w:rPr>
        <w:t>中选定的方法，具体见招标文件第五部分“评标方法、步骤、标准”。</w:t>
      </w:r>
    </w:p>
    <w:p w14:paraId="073F8DF3">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投标文件的初审</w:t>
      </w:r>
    </w:p>
    <w:p w14:paraId="6AD52905">
      <w:pPr>
        <w:pStyle w:val="32"/>
        <w:numPr>
          <w:ilvl w:val="0"/>
          <w:numId w:val="3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资格性审查：开标结束后，由采购人按招标文件的规定，对投标人的资格进行审查；</w:t>
      </w:r>
      <w:r>
        <w:rPr>
          <w:rFonts w:ascii="黑体" w:hAnsi="黑体" w:eastAsia="黑体"/>
          <w:bCs/>
          <w:color w:val="auto"/>
          <w:szCs w:val="21"/>
          <w:highlight w:val="none"/>
        </w:rPr>
        <w:t xml:space="preserve"> </w:t>
      </w:r>
    </w:p>
    <w:p w14:paraId="170B95B7">
      <w:pPr>
        <w:pStyle w:val="32"/>
        <w:numPr>
          <w:ilvl w:val="0"/>
          <w:numId w:val="3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符合性审查：评标委员会对符合资格的投标人的投标文件进行符合性审查，以确定其是否满足招标文件实质性要求。</w:t>
      </w:r>
    </w:p>
    <w:p w14:paraId="1494864B">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投标文件的澄清</w:t>
      </w:r>
    </w:p>
    <w:p w14:paraId="4407CE75">
      <w:pPr>
        <w:pStyle w:val="32"/>
        <w:numPr>
          <w:ilvl w:val="0"/>
          <w:numId w:val="3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评标期间，对于投标文件中含义不明确、同类问题表述不一致或者有明显文字和计算错误的内容，评标委员会以书面的形式要求投标人作出必要的澄清、说明或者补正。</w:t>
      </w:r>
    </w:p>
    <w:p w14:paraId="7D12313D">
      <w:pPr>
        <w:pStyle w:val="32"/>
        <w:numPr>
          <w:ilvl w:val="0"/>
          <w:numId w:val="3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投标人的澄清、说明或者补正采用书面形式，并加盖公章，或者由法定(负责人)代表人或其授权的代表签字。投标人的澄清、说明或者补正不得超出投标文件的范围或者改变投标文件的实质性内容。</w:t>
      </w:r>
    </w:p>
    <w:p w14:paraId="68BD2176">
      <w:pPr>
        <w:pStyle w:val="32"/>
        <w:numPr>
          <w:ilvl w:val="0"/>
          <w:numId w:val="3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投标人的澄清文件是其投标文件的组成部分。</w:t>
      </w:r>
    </w:p>
    <w:p w14:paraId="7FF6661C">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投标文件详细评价</w:t>
      </w:r>
    </w:p>
    <w:p w14:paraId="7B42F54C">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评标委员会将对通过符合性审查的投标文件进行详细评价和比较。</w:t>
      </w:r>
    </w:p>
    <w:p w14:paraId="7C60B297">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定标原则与授标</w:t>
      </w:r>
    </w:p>
    <w:p w14:paraId="10A8D53F">
      <w:pPr>
        <w:pStyle w:val="32"/>
        <w:numPr>
          <w:ilvl w:val="0"/>
          <w:numId w:val="3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评标委员会按照招标文件确定的评标方法、步骤、标准，对投标文件进行评审，提出书面评标报告。</w:t>
      </w:r>
    </w:p>
    <w:p w14:paraId="1C16C737">
      <w:pPr>
        <w:pStyle w:val="32"/>
        <w:numPr>
          <w:ilvl w:val="0"/>
          <w:numId w:val="3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采用综合评分法的，评审后得</w:t>
      </w:r>
      <w:r>
        <w:rPr>
          <w:rFonts w:hint="eastAsia" w:ascii="黑体" w:hAnsi="黑体" w:eastAsia="黑体"/>
          <w:bCs/>
          <w:color w:val="auto"/>
          <w:szCs w:val="21"/>
          <w:highlight w:val="none"/>
          <w:lang w:val="en-US" w:eastAsia="zh-CN"/>
        </w:rPr>
        <w:t>按综合得</w:t>
      </w:r>
      <w:r>
        <w:rPr>
          <w:rFonts w:hint="eastAsia" w:ascii="黑体" w:hAnsi="黑体" w:eastAsia="黑体"/>
          <w:bCs/>
          <w:color w:val="auto"/>
          <w:szCs w:val="21"/>
          <w:highlight w:val="none"/>
        </w:rPr>
        <w:t>分由高到低顺序排列；</w:t>
      </w:r>
      <w:r>
        <w:rPr>
          <w:rFonts w:hint="eastAsia" w:ascii="黑体" w:hAnsi="黑体" w:eastAsia="黑体"/>
          <w:bCs/>
          <w:color w:val="auto"/>
          <w:spacing w:val="-2"/>
          <w:szCs w:val="21"/>
          <w:highlight w:val="none"/>
        </w:rPr>
        <w:t>综合得分相同的，按</w:t>
      </w:r>
      <w:r>
        <w:rPr>
          <w:rFonts w:hint="eastAsia" w:ascii="黑体" w:hAnsi="黑体" w:eastAsia="黑体"/>
          <w:bCs/>
          <w:color w:val="auto"/>
          <w:spacing w:val="-2"/>
          <w:szCs w:val="21"/>
          <w:highlight w:val="none"/>
          <w:lang w:eastAsia="zh-CN"/>
        </w:rPr>
        <w:t>商务技术评分表第二条执行</w:t>
      </w:r>
      <w:r>
        <w:rPr>
          <w:rFonts w:hint="eastAsia" w:ascii="黑体" w:hAnsi="黑体" w:eastAsia="黑体"/>
          <w:bCs/>
          <w:color w:val="auto"/>
          <w:szCs w:val="21"/>
          <w:highlight w:val="none"/>
        </w:rPr>
        <w:t>。按规定推荐综合得分排名第一的投标人为第一中标候选人，排名第二的投标人为第二中标候选人，以此类推。</w:t>
      </w:r>
    </w:p>
    <w:p w14:paraId="0DB01219">
      <w:pPr>
        <w:pStyle w:val="32"/>
        <w:numPr>
          <w:ilvl w:val="0"/>
          <w:numId w:val="3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采购人在评标结束后</w:t>
      </w:r>
      <w:r>
        <w:rPr>
          <w:rFonts w:hint="eastAsia" w:ascii="黑体" w:hAnsi="黑体" w:eastAsia="黑体"/>
          <w:bCs/>
          <w:color w:val="auto"/>
          <w:szCs w:val="21"/>
          <w:highlight w:val="none"/>
          <w:lang w:val="en-US" w:eastAsia="zh-CN"/>
        </w:rPr>
        <w:t>5</w:t>
      </w:r>
      <w:r>
        <w:rPr>
          <w:rFonts w:hint="eastAsia" w:ascii="黑体" w:hAnsi="黑体" w:eastAsia="黑体"/>
          <w:bCs/>
          <w:color w:val="auto"/>
          <w:szCs w:val="21"/>
          <w:highlight w:val="none"/>
        </w:rPr>
        <w:t>个工作日内根据评标报告确定的中标候选人名单中按顺序确定中标人。</w:t>
      </w:r>
    </w:p>
    <w:p w14:paraId="34CD7967">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询问、质疑</w:t>
      </w:r>
    </w:p>
    <w:p w14:paraId="2B97DEAA">
      <w:pPr>
        <w:pStyle w:val="32"/>
        <w:numPr>
          <w:ilvl w:val="0"/>
          <w:numId w:val="3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询问</w:t>
      </w:r>
    </w:p>
    <w:p w14:paraId="55C4C3E0">
      <w:pPr>
        <w:pStyle w:val="32"/>
        <w:numPr>
          <w:ilvl w:val="0"/>
          <w:numId w:val="3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投标人对采购活动事项有疑问的，可以向采购人提出询问，询问可以口头方式提出，也可以书面方式提出。</w:t>
      </w:r>
    </w:p>
    <w:p w14:paraId="0C899D84">
      <w:pPr>
        <w:pStyle w:val="32"/>
        <w:numPr>
          <w:ilvl w:val="0"/>
          <w:numId w:val="3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如采用书面方式提出询问，投标人为自然人的，询问函应当由本人签字；投标人为法人(负责人)或者其他组织的，应当由法定</w:t>
      </w:r>
      <w:r>
        <w:rPr>
          <w:rFonts w:hint="eastAsia" w:ascii="黑体" w:hAnsi="黑体" w:eastAsia="黑体"/>
          <w:color w:val="auto"/>
          <w:szCs w:val="21"/>
          <w:highlight w:val="none"/>
        </w:rPr>
        <w:t>(负责人)</w:t>
      </w:r>
      <w:r>
        <w:rPr>
          <w:rFonts w:hint="eastAsia" w:ascii="黑体" w:hAnsi="黑体" w:eastAsia="黑体"/>
          <w:bCs/>
          <w:color w:val="auto"/>
          <w:szCs w:val="21"/>
          <w:highlight w:val="none"/>
        </w:rPr>
        <w:t>代表人、主要负责人或授权代表签字或者盖章，并加盖公章。响应投标人递交询问函时非法定</w:t>
      </w:r>
      <w:r>
        <w:rPr>
          <w:rFonts w:hint="eastAsia" w:ascii="黑体" w:hAnsi="黑体" w:eastAsia="黑体"/>
          <w:color w:val="auto"/>
          <w:szCs w:val="21"/>
          <w:highlight w:val="none"/>
        </w:rPr>
        <w:t>(负责人)</w:t>
      </w:r>
      <w:r>
        <w:rPr>
          <w:rFonts w:hint="eastAsia" w:ascii="黑体" w:hAnsi="黑体" w:eastAsia="黑体"/>
          <w:bCs/>
          <w:color w:val="auto"/>
          <w:szCs w:val="21"/>
          <w:highlight w:val="none"/>
        </w:rPr>
        <w:t>代表人亲自办理的需提供法定</w:t>
      </w:r>
      <w:r>
        <w:rPr>
          <w:rFonts w:hint="eastAsia" w:ascii="黑体" w:hAnsi="黑体" w:eastAsia="黑体"/>
          <w:color w:val="auto"/>
          <w:szCs w:val="21"/>
          <w:highlight w:val="none"/>
        </w:rPr>
        <w:t>(负责人)</w:t>
      </w:r>
      <w:r>
        <w:rPr>
          <w:rFonts w:hint="eastAsia" w:ascii="黑体" w:hAnsi="黑体" w:eastAsia="黑体"/>
          <w:bCs/>
          <w:color w:val="auto"/>
          <w:szCs w:val="21"/>
          <w:highlight w:val="none"/>
        </w:rPr>
        <w:t>代表人授权委托书（应载明授权代表的姓名或者名称、代理事项、具体权限、期限和相关事项）及授权代表身份证复印件。</w:t>
      </w:r>
    </w:p>
    <w:p w14:paraId="2DB66821">
      <w:pPr>
        <w:pStyle w:val="32"/>
        <w:numPr>
          <w:ilvl w:val="0"/>
          <w:numId w:val="3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采购人在三个工作日内对投标人提出的询问作出答复。</w:t>
      </w:r>
    </w:p>
    <w:p w14:paraId="73F7CA77">
      <w:pPr>
        <w:pStyle w:val="32"/>
        <w:numPr>
          <w:ilvl w:val="0"/>
          <w:numId w:val="3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质疑</w:t>
      </w:r>
    </w:p>
    <w:p w14:paraId="5747CC6C">
      <w:pPr>
        <w:pStyle w:val="32"/>
        <w:numPr>
          <w:ilvl w:val="0"/>
          <w:numId w:val="3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w:t>
      </w:r>
      <w:r>
        <w:rPr>
          <w:rFonts w:hint="eastAsia" w:ascii="黑体" w:hAnsi="黑体" w:eastAsia="黑体"/>
          <w:bCs/>
          <w:color w:val="auto"/>
          <w:spacing w:val="-2"/>
          <w:szCs w:val="21"/>
          <w:highlight w:val="none"/>
        </w:rPr>
        <w:t>标人认为采购文件、采购过程和中标结果使自己的权益受到损害的，可以在知道或应知其权益受到损害之日起7个工作日内，以书面形式向采购人提出质疑。</w:t>
      </w:r>
    </w:p>
    <w:p w14:paraId="0E0520E9">
      <w:pPr>
        <w:pStyle w:val="32"/>
        <w:numPr>
          <w:ilvl w:val="0"/>
          <w:numId w:val="3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提出质疑的投标人应当是参与所质疑项目采购活动的投标人。</w:t>
      </w:r>
    </w:p>
    <w:p w14:paraId="719061D7">
      <w:pPr>
        <w:pStyle w:val="32"/>
        <w:numPr>
          <w:ilvl w:val="0"/>
          <w:numId w:val="38"/>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提交要求：</w:t>
      </w:r>
    </w:p>
    <w:p w14:paraId="4785E7C6">
      <w:pPr>
        <w:pStyle w:val="32"/>
        <w:numPr>
          <w:ilvl w:val="0"/>
          <w:numId w:val="3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以书面形式向采购人一次性提出针对同一采购程序环节的质疑。</w:t>
      </w:r>
    </w:p>
    <w:p w14:paraId="4EB542C7">
      <w:pPr>
        <w:pStyle w:val="32"/>
        <w:numPr>
          <w:ilvl w:val="0"/>
          <w:numId w:val="3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质疑函内容：应包括投标人的姓名或者名称、地址、邮编、联系人及联系电话；质疑项目的名称及编号；具体且明确的质疑事项和与质疑事项相关的请求；事实依据、必要的法律依据、提出质疑的日期。投标人为自然人的，质疑函应当由本人签字；投标人为法人</w:t>
      </w:r>
      <w:r>
        <w:rPr>
          <w:rFonts w:hint="eastAsia" w:ascii="黑体" w:hAnsi="黑体" w:eastAsia="黑体"/>
          <w:color w:val="auto"/>
          <w:szCs w:val="21"/>
          <w:highlight w:val="none"/>
        </w:rPr>
        <w:t>(负责人)</w:t>
      </w:r>
      <w:r>
        <w:rPr>
          <w:rFonts w:hint="eastAsia" w:ascii="黑体" w:hAnsi="黑体" w:eastAsia="黑体"/>
          <w:bCs/>
          <w:color w:val="auto"/>
          <w:szCs w:val="21"/>
          <w:highlight w:val="none"/>
        </w:rPr>
        <w:t>或者其他组织的，应当由法定</w:t>
      </w:r>
      <w:r>
        <w:rPr>
          <w:rFonts w:hint="eastAsia" w:ascii="黑体" w:hAnsi="黑体" w:eastAsia="黑体"/>
          <w:color w:val="auto"/>
          <w:szCs w:val="21"/>
          <w:highlight w:val="none"/>
        </w:rPr>
        <w:t>(负责人)</w:t>
      </w:r>
      <w:r>
        <w:rPr>
          <w:rFonts w:hint="eastAsia" w:ascii="黑体" w:hAnsi="黑体" w:eastAsia="黑体"/>
          <w:bCs/>
          <w:color w:val="auto"/>
          <w:szCs w:val="21"/>
          <w:highlight w:val="none"/>
        </w:rPr>
        <w:t>代表人、主要负责人或授权代表签字或者盖章，并加盖公章。响应投标人递交质疑函时非法定</w:t>
      </w:r>
      <w:r>
        <w:rPr>
          <w:rFonts w:hint="eastAsia" w:ascii="黑体" w:hAnsi="黑体" w:eastAsia="黑体"/>
          <w:color w:val="auto"/>
          <w:szCs w:val="21"/>
          <w:highlight w:val="none"/>
        </w:rPr>
        <w:t>(负责人)</w:t>
      </w:r>
      <w:r>
        <w:rPr>
          <w:rFonts w:hint="eastAsia" w:ascii="黑体" w:hAnsi="黑体" w:eastAsia="黑体"/>
          <w:bCs/>
          <w:color w:val="auto"/>
          <w:szCs w:val="21"/>
          <w:highlight w:val="none"/>
        </w:rPr>
        <w:t>代表人亲自办理的需提供法定</w:t>
      </w:r>
      <w:r>
        <w:rPr>
          <w:rFonts w:hint="eastAsia" w:ascii="黑体" w:hAnsi="黑体" w:eastAsia="黑体"/>
          <w:color w:val="auto"/>
          <w:szCs w:val="21"/>
          <w:highlight w:val="none"/>
        </w:rPr>
        <w:t>(负责人)</w:t>
      </w:r>
      <w:r>
        <w:rPr>
          <w:rFonts w:hint="eastAsia" w:ascii="黑体" w:hAnsi="黑体" w:eastAsia="黑体"/>
          <w:bCs/>
          <w:color w:val="auto"/>
          <w:szCs w:val="21"/>
          <w:highlight w:val="none"/>
        </w:rPr>
        <w:t>代表人授权委托书（应载明授权代表的姓名或者名称、代理事项、具体权限、期限和相关事项）及授权代表身份证复印件。</w:t>
      </w:r>
    </w:p>
    <w:p w14:paraId="19DE71D1">
      <w:pPr>
        <w:pStyle w:val="32"/>
        <w:numPr>
          <w:ilvl w:val="0"/>
          <w:numId w:val="3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在收到投标人的书面质疑后7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投标人捏造事实、提供虚假材料或者以非法手段取得证明材料不能作为质疑的证明材料。</w:t>
      </w:r>
    </w:p>
    <w:p w14:paraId="50E92F12">
      <w:pPr>
        <w:pStyle w:val="32"/>
        <w:numPr>
          <w:ilvl w:val="0"/>
          <w:numId w:val="3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采购人接收以书面形式递交的质疑函，接收质疑函的联系人、联系方式和通讯地址（详见第一部分《投标邀请函》中相关信息对应内容）</w:t>
      </w:r>
    </w:p>
    <w:p w14:paraId="66B13C4E">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中标通知书</w:t>
      </w:r>
    </w:p>
    <w:p w14:paraId="28C0DC69">
      <w:pPr>
        <w:pStyle w:val="32"/>
        <w:numPr>
          <w:ilvl w:val="0"/>
          <w:numId w:val="4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采购人应当自中标</w:t>
      </w:r>
      <w:r>
        <w:rPr>
          <w:rFonts w:hint="eastAsia" w:ascii="黑体" w:hAnsi="黑体" w:eastAsia="黑体"/>
          <w:bCs/>
          <w:color w:val="auto"/>
          <w:szCs w:val="21"/>
          <w:highlight w:val="none"/>
          <w:lang w:val="en-US" w:eastAsia="zh-CN"/>
        </w:rPr>
        <w:t>人</w:t>
      </w:r>
      <w:r>
        <w:rPr>
          <w:rFonts w:hint="eastAsia" w:ascii="黑体" w:hAnsi="黑体" w:eastAsia="黑体"/>
          <w:bCs/>
          <w:color w:val="auto"/>
          <w:szCs w:val="21"/>
          <w:highlight w:val="none"/>
        </w:rPr>
        <w:t>确定之日起</w:t>
      </w:r>
      <w:r>
        <w:rPr>
          <w:rFonts w:hint="eastAsia" w:eastAsia="黑体"/>
          <w:color w:val="auto"/>
          <w:lang w:val="en-US" w:eastAsia="zh-CN"/>
        </w:rPr>
        <w:t>2</w:t>
      </w:r>
      <w:r>
        <w:rPr>
          <w:rFonts w:hint="eastAsia" w:ascii="黑体" w:hAnsi="黑体" w:eastAsia="黑体"/>
          <w:bCs/>
          <w:color w:val="auto"/>
          <w:szCs w:val="21"/>
          <w:highlight w:val="none"/>
        </w:rPr>
        <w:t>个工作日内在相关采购信息发布媒体上公告中标结果和发出中标通知书，公告期为1个工作日。</w:t>
      </w:r>
    </w:p>
    <w:p w14:paraId="0AC06E40">
      <w:pPr>
        <w:pStyle w:val="32"/>
        <w:numPr>
          <w:ilvl w:val="0"/>
          <w:numId w:val="4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《中标通知书》对中标人和采购人具有同等法律效力。</w:t>
      </w:r>
    </w:p>
    <w:p w14:paraId="08EFAD40">
      <w:pPr>
        <w:pStyle w:val="32"/>
        <w:numPr>
          <w:ilvl w:val="0"/>
          <w:numId w:val="4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中标通知书发出后，采购人不得违法改变中标结果，中标人无正当理由不得放弃中标。</w:t>
      </w:r>
    </w:p>
    <w:p w14:paraId="379BCE9F">
      <w:pPr>
        <w:pStyle w:val="32"/>
        <w:numPr>
          <w:ilvl w:val="0"/>
          <w:numId w:val="4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《中标通知书》将作为授予合同资格的合法依据，是合同的一个组成部分。</w:t>
      </w:r>
    </w:p>
    <w:p w14:paraId="0EB0DDC4">
      <w:pPr>
        <w:pStyle w:val="32"/>
        <w:numPr>
          <w:ilvl w:val="0"/>
          <w:numId w:val="10"/>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授予合同</w:t>
      </w:r>
    </w:p>
    <w:p w14:paraId="653CBA83">
      <w:pPr>
        <w:pStyle w:val="32"/>
        <w:numPr>
          <w:ilvl w:val="0"/>
          <w:numId w:val="11"/>
        </w:numPr>
        <w:tabs>
          <w:tab w:val="left" w:pos="426"/>
        </w:tabs>
        <w:spacing w:line="360" w:lineRule="auto"/>
        <w:ind w:firstLineChars="0"/>
        <w:rPr>
          <w:rFonts w:ascii="黑体" w:hAnsi="黑体" w:eastAsia="黑体"/>
          <w:b/>
          <w:color w:val="auto"/>
          <w:highlight w:val="none"/>
        </w:rPr>
      </w:pPr>
      <w:r>
        <w:rPr>
          <w:rFonts w:hint="eastAsia" w:ascii="黑体" w:hAnsi="黑体" w:eastAsia="黑体"/>
          <w:b/>
          <w:color w:val="auto"/>
          <w:highlight w:val="none"/>
        </w:rPr>
        <w:t>合同的订立</w:t>
      </w:r>
    </w:p>
    <w:p w14:paraId="2B0B78CC">
      <w:pPr>
        <w:pStyle w:val="32"/>
        <w:numPr>
          <w:ilvl w:val="0"/>
          <w:numId w:val="4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除非</w:t>
      </w:r>
      <w:r>
        <w:rPr>
          <w:rFonts w:hint="eastAsia" w:ascii="黑体" w:hAnsi="黑体" w:eastAsia="黑体"/>
          <w:bCs/>
          <w:color w:val="auto"/>
          <w:szCs w:val="21"/>
          <w:highlight w:val="none"/>
          <w:u w:val="single"/>
        </w:rPr>
        <w:t xml:space="preserve"> </w:t>
      </w:r>
      <w:r>
        <w:rPr>
          <w:rFonts w:hint="eastAsia" w:ascii="黑体" w:hAnsi="黑体" w:eastAsia="黑体"/>
          <w:b/>
          <w:bCs/>
          <w:color w:val="auto"/>
          <w:szCs w:val="21"/>
          <w:highlight w:val="none"/>
          <w:u w:val="single"/>
        </w:rPr>
        <w:t xml:space="preserve">投标须知前附表 </w:t>
      </w:r>
      <w:r>
        <w:rPr>
          <w:rFonts w:hint="eastAsia" w:ascii="黑体" w:hAnsi="黑体" w:eastAsia="黑体"/>
          <w:bCs/>
          <w:color w:val="auto"/>
          <w:szCs w:val="21"/>
          <w:highlight w:val="none"/>
        </w:rPr>
        <w:t>另有规定，采购人应当自《中标通知书》发出之日起三十日内，按照招标文件和中标人投标文件的约定，与中标人签订书面合同。所签订的合同不得对招标文件确定的事项和中标人投标文件作实质性修改。</w:t>
      </w:r>
    </w:p>
    <w:p w14:paraId="78FA8286">
      <w:pPr>
        <w:pStyle w:val="32"/>
        <w:numPr>
          <w:ilvl w:val="0"/>
          <w:numId w:val="4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采购人不得向中标人提出任何不合理的要求作为签订合同的条件。</w:t>
      </w:r>
    </w:p>
    <w:p w14:paraId="6E946939">
      <w:pPr>
        <w:pStyle w:val="32"/>
        <w:numPr>
          <w:ilvl w:val="0"/>
          <w:numId w:val="41"/>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中标人领取招标文件至投标有效期结束期间，采购人及中标人关于本项目的各类澄清、修改及补充文件均视为采购合同的有效组成部分。</w:t>
      </w:r>
    </w:p>
    <w:p w14:paraId="0E94C344">
      <w:pPr>
        <w:pStyle w:val="32"/>
        <w:numPr>
          <w:ilvl w:val="0"/>
          <w:numId w:val="41"/>
        </w:numPr>
        <w:spacing w:line="360" w:lineRule="auto"/>
        <w:ind w:firstLineChars="0"/>
        <w:rPr>
          <w:rFonts w:ascii="黑体" w:hAnsi="黑体" w:eastAsia="黑体"/>
          <w:bCs/>
          <w:color w:val="auto"/>
          <w:szCs w:val="21"/>
          <w:highlight w:val="none"/>
        </w:rPr>
      </w:pPr>
      <w:r>
        <w:rPr>
          <w:rFonts w:ascii="黑体" w:hAnsi="黑体" w:eastAsia="黑体"/>
          <w:bCs/>
          <w:color w:val="auto"/>
          <w:szCs w:val="21"/>
          <w:highlight w:val="none"/>
        </w:rPr>
        <w:t>中标</w:t>
      </w:r>
      <w:r>
        <w:rPr>
          <w:rFonts w:hint="eastAsia" w:ascii="黑体" w:hAnsi="黑体" w:eastAsia="黑体"/>
          <w:bCs/>
          <w:color w:val="auto"/>
          <w:szCs w:val="21"/>
          <w:highlight w:val="none"/>
        </w:rPr>
        <w:t>人</w:t>
      </w:r>
      <w:r>
        <w:rPr>
          <w:rFonts w:ascii="黑体" w:hAnsi="黑体" w:eastAsia="黑体"/>
          <w:bCs/>
          <w:color w:val="auto"/>
          <w:szCs w:val="21"/>
          <w:highlight w:val="none"/>
        </w:rPr>
        <w:t>拒绝与采购人签订合同的，采购人可以按照评审报告推荐的中标候选人名单排序，确定下一候选人为中标</w:t>
      </w:r>
      <w:r>
        <w:rPr>
          <w:rFonts w:hint="eastAsia" w:ascii="黑体" w:hAnsi="黑体" w:eastAsia="黑体"/>
          <w:bCs/>
          <w:color w:val="auto"/>
          <w:szCs w:val="21"/>
          <w:highlight w:val="none"/>
        </w:rPr>
        <w:t>人</w:t>
      </w:r>
      <w:r>
        <w:rPr>
          <w:rFonts w:ascii="黑体" w:hAnsi="黑体" w:eastAsia="黑体"/>
          <w:bCs/>
          <w:color w:val="auto"/>
          <w:szCs w:val="21"/>
          <w:highlight w:val="none"/>
        </w:rPr>
        <w:t>，也可以重新开展采购活动。</w:t>
      </w:r>
    </w:p>
    <w:p w14:paraId="29994E63">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合同的履行</w:t>
      </w:r>
    </w:p>
    <w:p w14:paraId="32E51DAC">
      <w:pPr>
        <w:pStyle w:val="32"/>
        <w:numPr>
          <w:ilvl w:val="0"/>
          <w:numId w:val="4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采购人和中标人应当根据合同的约定依法履行合同义务。</w:t>
      </w:r>
    </w:p>
    <w:p w14:paraId="3CAC0097">
      <w:pPr>
        <w:pStyle w:val="32"/>
        <w:numPr>
          <w:ilvl w:val="0"/>
          <w:numId w:val="4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采购合同订立后，合同各方不得擅自变更、中止或者终止合同。</w:t>
      </w:r>
    </w:p>
    <w:p w14:paraId="51662780">
      <w:pPr>
        <w:pStyle w:val="32"/>
        <w:numPr>
          <w:ilvl w:val="0"/>
          <w:numId w:val="42"/>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合同履行中，采购人需追加与合同标的相同的货物、工程或者服务的，在不改变合同其他条款的前提下，可以与中标人签订补充合同，但所补充合同的采购金额不得超过原合同采购金额的百分之十。签订补充合同的必须按规定备案。</w:t>
      </w:r>
    </w:p>
    <w:p w14:paraId="5F97391A">
      <w:pPr>
        <w:pStyle w:val="32"/>
        <w:numPr>
          <w:ilvl w:val="0"/>
          <w:numId w:val="11"/>
        </w:numPr>
        <w:tabs>
          <w:tab w:val="left" w:pos="426"/>
        </w:tabs>
        <w:spacing w:beforeLines="100" w:line="360" w:lineRule="auto"/>
        <w:ind w:firstLineChars="0"/>
        <w:rPr>
          <w:rFonts w:ascii="黑体" w:hAnsi="黑体" w:eastAsia="黑体"/>
          <w:b/>
          <w:color w:val="auto"/>
          <w:highlight w:val="none"/>
        </w:rPr>
      </w:pPr>
      <w:bookmarkStart w:id="24" w:name="_Toc357676146"/>
      <w:r>
        <w:rPr>
          <w:rFonts w:hint="eastAsia" w:ascii="黑体" w:hAnsi="黑体" w:eastAsia="黑体"/>
          <w:b/>
          <w:color w:val="auto"/>
          <w:highlight w:val="none"/>
        </w:rPr>
        <w:t>接受和拒绝任何或所有投标的权力</w:t>
      </w:r>
      <w:bookmarkEnd w:id="24"/>
    </w:p>
    <w:p w14:paraId="47A5B7AC">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在特殊情况下，采购人保留在投标之前拒绝任何投标以及宣布招标程序无效或拒绝所有投标的权力。</w:t>
      </w:r>
    </w:p>
    <w:p w14:paraId="48C54AEB">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招标文件符号说明</w:t>
      </w:r>
    </w:p>
    <w:p w14:paraId="2B5BD1A4">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招标文件中，带“★”符号的内容为必须响应条款，偏离将导致废标；带“▲”符号的内容为用户需求重点技术参数，若未能响应，则在评标过程中根据评审内容作扣分处理。</w:t>
      </w:r>
    </w:p>
    <w:p w14:paraId="334FD315">
      <w:pPr>
        <w:pStyle w:val="32"/>
        <w:numPr>
          <w:ilvl w:val="0"/>
          <w:numId w:val="11"/>
        </w:numPr>
        <w:tabs>
          <w:tab w:val="left" w:pos="426"/>
        </w:tabs>
        <w:spacing w:beforeLines="100" w:line="360" w:lineRule="auto"/>
        <w:ind w:firstLineChars="0"/>
        <w:rPr>
          <w:rFonts w:ascii="黑体" w:hAnsi="黑体" w:eastAsia="黑体"/>
          <w:b/>
          <w:color w:val="auto"/>
          <w:highlight w:val="none"/>
        </w:rPr>
      </w:pPr>
      <w:r>
        <w:rPr>
          <w:rFonts w:hint="eastAsia" w:ascii="黑体" w:hAnsi="黑体" w:eastAsia="黑体"/>
          <w:b/>
          <w:color w:val="auto"/>
          <w:highlight w:val="none"/>
        </w:rPr>
        <w:t>适用法律</w:t>
      </w:r>
    </w:p>
    <w:p w14:paraId="7E9B6C26">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采购人及投标人的一切招标投标活动均参考适用《中华人民共和国政府采购法》、《中华人民共和国政府采购法实施条例》及其配套的法规、规章、政策。</w:t>
      </w:r>
    </w:p>
    <w:p w14:paraId="3DAD7586">
      <w:pPr>
        <w:pStyle w:val="32"/>
        <w:spacing w:line="360" w:lineRule="auto"/>
        <w:ind w:firstLine="0" w:firstLineChars="0"/>
        <w:rPr>
          <w:rFonts w:ascii="黑体" w:hAnsi="黑体" w:eastAsia="黑体"/>
          <w:bCs/>
          <w:color w:val="auto"/>
          <w:szCs w:val="21"/>
          <w:highlight w:val="none"/>
        </w:rPr>
      </w:pPr>
    </w:p>
    <w:p w14:paraId="42E3FB5C">
      <w:pPr>
        <w:pStyle w:val="2"/>
        <w:pageBreakBefore/>
        <w:spacing w:line="360" w:lineRule="auto"/>
        <w:jc w:val="center"/>
        <w:rPr>
          <w:rFonts w:ascii="黑体" w:hAnsi="黑体" w:eastAsia="黑体"/>
          <w:color w:val="auto"/>
          <w:spacing w:val="20"/>
          <w:sz w:val="32"/>
          <w:szCs w:val="32"/>
          <w:highlight w:val="none"/>
        </w:rPr>
      </w:pPr>
      <w:bookmarkStart w:id="25" w:name="_Toc23715269"/>
      <w:bookmarkStart w:id="26" w:name="_Toc391627751"/>
      <w:bookmarkStart w:id="27" w:name="_Toc405313955"/>
      <w:r>
        <w:rPr>
          <w:rFonts w:hint="eastAsia" w:ascii="黑体" w:hAnsi="黑体" w:eastAsia="黑体"/>
          <w:color w:val="auto"/>
          <w:spacing w:val="20"/>
          <w:sz w:val="32"/>
          <w:szCs w:val="32"/>
          <w:highlight w:val="none"/>
        </w:rPr>
        <w:t>第五部分 评标方法、步骤、标准</w:t>
      </w:r>
      <w:bookmarkEnd w:id="25"/>
      <w:bookmarkEnd w:id="26"/>
      <w:bookmarkEnd w:id="27"/>
    </w:p>
    <w:p w14:paraId="643906A5">
      <w:pPr>
        <w:spacing w:line="360" w:lineRule="auto"/>
        <w:ind w:firstLine="420" w:firstLineChars="200"/>
        <w:rPr>
          <w:rFonts w:ascii="黑体" w:hAnsi="黑体" w:eastAsia="黑体"/>
          <w:bCs/>
          <w:color w:val="auto"/>
          <w:szCs w:val="21"/>
          <w:highlight w:val="none"/>
        </w:rPr>
      </w:pPr>
      <w:r>
        <w:rPr>
          <w:rFonts w:hint="eastAsia" w:ascii="黑体" w:hAnsi="黑体" w:eastAsia="黑体"/>
          <w:bCs/>
          <w:color w:val="auto"/>
          <w:szCs w:val="21"/>
          <w:highlight w:val="none"/>
        </w:rPr>
        <w:t>参考</w:t>
      </w:r>
      <w:r>
        <w:rPr>
          <w:rFonts w:hint="eastAsia" w:ascii="黑体" w:hAnsi="黑体" w:eastAsia="黑体"/>
          <w:color w:val="auto"/>
          <w:szCs w:val="21"/>
          <w:highlight w:val="none"/>
        </w:rPr>
        <w:t>《中华人民共和国政府采购法》、《中华人民共和国政府采购法实施条例》、广东省实施《中华人民共和国政府采购法》办法、财政部《政府采购货物和服务招标投标管理办法》</w:t>
      </w:r>
      <w:r>
        <w:rPr>
          <w:rFonts w:hint="eastAsia" w:ascii="黑体" w:hAnsi="黑体" w:eastAsia="黑体"/>
          <w:bCs/>
          <w:color w:val="auto"/>
          <w:szCs w:val="21"/>
          <w:highlight w:val="none"/>
        </w:rPr>
        <w:t>及相关法律、法规的规定确定以下评标方法、步骤及标准：</w:t>
      </w:r>
    </w:p>
    <w:p w14:paraId="33C7FA30">
      <w:pPr>
        <w:pStyle w:val="32"/>
        <w:numPr>
          <w:ilvl w:val="0"/>
          <w:numId w:val="43"/>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总则</w:t>
      </w:r>
    </w:p>
    <w:p w14:paraId="24CC2692">
      <w:pPr>
        <w:pStyle w:val="32"/>
        <w:numPr>
          <w:ilvl w:val="0"/>
          <w:numId w:val="44"/>
        </w:numPr>
        <w:spacing w:line="360" w:lineRule="auto"/>
        <w:ind w:firstLineChars="0"/>
        <w:rPr>
          <w:rFonts w:ascii="黑体" w:hAnsi="黑体" w:eastAsia="黑体"/>
          <w:b/>
          <w:bCs/>
          <w:color w:val="auto"/>
          <w:szCs w:val="21"/>
          <w:highlight w:val="none"/>
        </w:rPr>
      </w:pPr>
      <w:r>
        <w:rPr>
          <w:rFonts w:hint="eastAsia" w:ascii="黑体" w:hAnsi="黑体" w:eastAsia="黑体"/>
          <w:b/>
          <w:bCs/>
          <w:color w:val="auto"/>
          <w:szCs w:val="21"/>
          <w:highlight w:val="none"/>
        </w:rPr>
        <w:t>评标委员会</w:t>
      </w:r>
    </w:p>
    <w:p w14:paraId="33C60951">
      <w:pPr>
        <w:pStyle w:val="32"/>
        <w:numPr>
          <w:ilvl w:val="0"/>
          <w:numId w:val="4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本次招标依法组建评标委员会。</w:t>
      </w:r>
    </w:p>
    <w:p w14:paraId="32369471">
      <w:pPr>
        <w:pStyle w:val="32"/>
        <w:numPr>
          <w:ilvl w:val="0"/>
          <w:numId w:val="4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评审专家（不含采购人代表）有下列情形之一的，受到邀请应主动提出回避，采购当事人也可以要求该评审专家回避：</w:t>
      </w:r>
    </w:p>
    <w:p w14:paraId="26AF8DD9">
      <w:pPr>
        <w:pStyle w:val="32"/>
        <w:numPr>
          <w:ilvl w:val="0"/>
          <w:numId w:val="4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参加采购活动前三年内，与投标人存在劳动关系,或者担任过投标人的董事、监事,或者是投标人的控股股东或实际控制人；</w:t>
      </w:r>
    </w:p>
    <w:p w14:paraId="4EF21846">
      <w:pPr>
        <w:pStyle w:val="32"/>
        <w:numPr>
          <w:ilvl w:val="0"/>
          <w:numId w:val="4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与投标人的法定代表人或者负责人有夫妻、直系血亲、三代以内旁系血亲或者近姻亲关系；</w:t>
      </w:r>
    </w:p>
    <w:p w14:paraId="4082276A">
      <w:pPr>
        <w:pStyle w:val="32"/>
        <w:numPr>
          <w:ilvl w:val="0"/>
          <w:numId w:val="4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与投标人有其他可能影响采购活动公平、公正进行的关系；</w:t>
      </w:r>
    </w:p>
    <w:p w14:paraId="1000FDD8">
      <w:pPr>
        <w:pStyle w:val="32"/>
        <w:numPr>
          <w:ilvl w:val="0"/>
          <w:numId w:val="46"/>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就该采购项目招标文件征询过意见的。</w:t>
      </w:r>
    </w:p>
    <w:p w14:paraId="1A1236FD">
      <w:pPr>
        <w:pStyle w:val="32"/>
        <w:numPr>
          <w:ilvl w:val="0"/>
          <w:numId w:val="4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评标委员会将按照招标文件确定的评标方法进行评标。</w:t>
      </w:r>
      <w:r>
        <w:rPr>
          <w:rFonts w:ascii="黑体" w:hAnsi="黑体" w:eastAsia="黑体"/>
          <w:bCs/>
          <w:color w:val="auto"/>
          <w:szCs w:val="21"/>
          <w:highlight w:val="none"/>
        </w:rPr>
        <w:t>对招标文件中描述有歧义或前后不一致的地方，评标委员会有权</w:t>
      </w:r>
      <w:r>
        <w:rPr>
          <w:rFonts w:hint="eastAsia" w:ascii="黑体" w:hAnsi="黑体" w:eastAsia="黑体"/>
          <w:bCs/>
          <w:color w:val="auto"/>
          <w:szCs w:val="21"/>
          <w:highlight w:val="none"/>
        </w:rPr>
        <w:t>按法律法规的规定</w:t>
      </w:r>
      <w:r>
        <w:rPr>
          <w:rFonts w:ascii="黑体" w:hAnsi="黑体" w:eastAsia="黑体"/>
          <w:bCs/>
          <w:color w:val="auto"/>
          <w:szCs w:val="21"/>
          <w:highlight w:val="none"/>
        </w:rPr>
        <w:t>进行评判，但对同一条款的评判应适用于每个投标人</w:t>
      </w:r>
      <w:r>
        <w:rPr>
          <w:rFonts w:hint="eastAsia" w:ascii="黑体" w:hAnsi="黑体" w:eastAsia="黑体"/>
          <w:bCs/>
          <w:color w:val="auto"/>
          <w:szCs w:val="21"/>
          <w:highlight w:val="none"/>
        </w:rPr>
        <w:t>。</w:t>
      </w:r>
    </w:p>
    <w:p w14:paraId="0D123B5E">
      <w:pPr>
        <w:pStyle w:val="32"/>
        <w:numPr>
          <w:ilvl w:val="0"/>
          <w:numId w:val="45"/>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3984F9AE">
      <w:pPr>
        <w:pStyle w:val="32"/>
        <w:numPr>
          <w:ilvl w:val="0"/>
          <w:numId w:val="45"/>
        </w:numPr>
        <w:spacing w:line="360" w:lineRule="auto"/>
        <w:ind w:firstLineChars="0"/>
        <w:rPr>
          <w:rFonts w:ascii="黑体" w:hAnsi="黑体" w:eastAsia="黑体"/>
          <w:bCs/>
          <w:color w:val="auto"/>
          <w:spacing w:val="-4"/>
          <w:szCs w:val="21"/>
          <w:highlight w:val="none"/>
        </w:rPr>
      </w:pPr>
      <w:r>
        <w:rPr>
          <w:rFonts w:hint="eastAsia" w:ascii="黑体" w:hAnsi="黑体" w:eastAsia="黑体"/>
          <w:bCs/>
          <w:color w:val="auto"/>
          <w:szCs w:val="21"/>
          <w:highlight w:val="none"/>
        </w:rPr>
        <w:t>参</w:t>
      </w:r>
      <w:r>
        <w:rPr>
          <w:rFonts w:hint="eastAsia" w:ascii="黑体" w:hAnsi="黑体" w:eastAsia="黑体"/>
          <w:bCs/>
          <w:color w:val="auto"/>
          <w:spacing w:val="-2"/>
          <w:szCs w:val="21"/>
          <w:highlight w:val="none"/>
        </w:rPr>
        <w:t>与评标工作的所有人员必须遵守</w:t>
      </w:r>
      <w:r>
        <w:rPr>
          <w:rFonts w:hint="eastAsia" w:ascii="黑体" w:hAnsi="黑体" w:eastAsia="黑体"/>
          <w:color w:val="auto"/>
          <w:spacing w:val="-2"/>
          <w:szCs w:val="21"/>
          <w:highlight w:val="none"/>
        </w:rPr>
        <w:t>《中华人民共和国政府采购法》、《中华人民共和国政府采购法实施条例》、广东省实施《中华人民共和国政府采购法》办法、财政部《政府采购货物和服务招标投标管理办法》</w:t>
      </w:r>
      <w:r>
        <w:rPr>
          <w:rFonts w:hint="eastAsia" w:ascii="黑体" w:hAnsi="黑体" w:eastAsia="黑体"/>
          <w:bCs/>
          <w:color w:val="auto"/>
          <w:spacing w:val="-2"/>
          <w:szCs w:val="21"/>
          <w:highlight w:val="none"/>
        </w:rPr>
        <w:t>及相关法律、法规的规定，以确保评标的公平、公正。</w:t>
      </w:r>
    </w:p>
    <w:p w14:paraId="77957E28">
      <w:pPr>
        <w:pStyle w:val="32"/>
        <w:numPr>
          <w:ilvl w:val="0"/>
          <w:numId w:val="44"/>
        </w:numPr>
        <w:spacing w:beforeLines="100" w:line="360" w:lineRule="auto"/>
        <w:ind w:firstLineChars="0"/>
        <w:rPr>
          <w:rFonts w:ascii="黑体" w:hAnsi="黑体" w:eastAsia="黑体"/>
          <w:b/>
          <w:bCs/>
          <w:color w:val="auto"/>
          <w:szCs w:val="21"/>
          <w:highlight w:val="none"/>
        </w:rPr>
      </w:pPr>
      <w:r>
        <w:rPr>
          <w:rFonts w:hint="eastAsia" w:ascii="黑体" w:hAnsi="黑体" w:eastAsia="黑体"/>
          <w:b/>
          <w:bCs/>
          <w:color w:val="auto"/>
          <w:szCs w:val="21"/>
          <w:highlight w:val="none"/>
        </w:rPr>
        <w:t>评标方法</w:t>
      </w:r>
    </w:p>
    <w:p w14:paraId="55392068">
      <w:pPr>
        <w:pStyle w:val="32"/>
        <w:numPr>
          <w:ilvl w:val="0"/>
          <w:numId w:val="4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本次评标采用</w:t>
      </w:r>
      <w:r>
        <w:rPr>
          <w:rFonts w:hint="eastAsia" w:ascii="黑体" w:hAnsi="黑体" w:eastAsia="黑体"/>
          <w:b/>
          <w:bCs/>
          <w:color w:val="auto"/>
          <w:szCs w:val="21"/>
          <w:highlight w:val="none"/>
        </w:rPr>
        <w:t>综合评分法</w:t>
      </w:r>
      <w:r>
        <w:rPr>
          <w:rFonts w:hint="eastAsia" w:ascii="黑体" w:hAnsi="黑体" w:eastAsia="黑体"/>
          <w:bCs/>
          <w:color w:val="auto"/>
          <w:szCs w:val="21"/>
          <w:highlight w:val="none"/>
        </w:rPr>
        <w:t>；综合评分法，是指投标文件满足招标文件全部实质性要求，且按照评审因素的量化指标评审得分最高的投标人为中标候选人的评标方法。综合得分为商务技术得分。</w:t>
      </w:r>
    </w:p>
    <w:p w14:paraId="2170A1AE">
      <w:pPr>
        <w:pStyle w:val="32"/>
        <w:numPr>
          <w:ilvl w:val="0"/>
          <w:numId w:val="47"/>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各项得分按四舍五入原则精确到小数点后两位。</w:t>
      </w:r>
    </w:p>
    <w:p w14:paraId="6DBDC67A">
      <w:pPr>
        <w:pStyle w:val="32"/>
        <w:numPr>
          <w:ilvl w:val="0"/>
          <w:numId w:val="44"/>
        </w:numPr>
        <w:spacing w:beforeLines="100" w:line="360" w:lineRule="auto"/>
        <w:ind w:firstLineChars="0"/>
        <w:rPr>
          <w:rFonts w:ascii="黑体" w:hAnsi="黑体" w:eastAsia="黑体"/>
          <w:bCs/>
          <w:color w:val="auto"/>
          <w:szCs w:val="21"/>
          <w:highlight w:val="none"/>
        </w:rPr>
      </w:pPr>
      <w:r>
        <w:rPr>
          <w:rFonts w:hint="eastAsia" w:ascii="黑体" w:hAnsi="黑体" w:eastAsia="黑体"/>
          <w:b/>
          <w:bCs/>
          <w:color w:val="auto"/>
          <w:szCs w:val="21"/>
          <w:highlight w:val="none"/>
        </w:rPr>
        <w:t>评标步骤</w:t>
      </w:r>
    </w:p>
    <w:p w14:paraId="03D457A4">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先对投标人进行资格性审查【详见《资格性审查表》（附表一）】，通过资格性审查的投标人由评标委员会对其投标文件进行符合性评审，再进行商务技术详细评审。只有通过符合性审查的投标才能进入详细的评审及参与综合得分排名。最后评标委员会出具评标报告，并排序</w:t>
      </w:r>
      <w:r>
        <w:rPr>
          <w:rFonts w:hint="eastAsia" w:ascii="黑体" w:hAnsi="黑体" w:eastAsia="黑体"/>
          <w:bCs/>
          <w:color w:val="auto"/>
          <w:spacing w:val="-2"/>
          <w:szCs w:val="21"/>
          <w:highlight w:val="none"/>
        </w:rPr>
        <w:t>推荐十</w:t>
      </w:r>
      <w:r>
        <w:rPr>
          <w:rFonts w:hint="eastAsia" w:ascii="黑体" w:hAnsi="黑体" w:eastAsia="黑体"/>
          <w:bCs/>
          <w:color w:val="auto"/>
          <w:spacing w:val="-2"/>
          <w:szCs w:val="21"/>
          <w:highlight w:val="none"/>
          <w:lang w:val="en-US" w:eastAsia="zh-CN"/>
        </w:rPr>
        <w:t>五</w:t>
      </w:r>
      <w:r>
        <w:rPr>
          <w:rFonts w:hint="eastAsia" w:ascii="黑体" w:hAnsi="黑体" w:eastAsia="黑体"/>
          <w:bCs/>
          <w:color w:val="auto"/>
          <w:spacing w:val="-2"/>
          <w:szCs w:val="21"/>
          <w:highlight w:val="none"/>
        </w:rPr>
        <w:t>名候选人，前十</w:t>
      </w:r>
      <w:r>
        <w:rPr>
          <w:rFonts w:hint="eastAsia" w:ascii="黑体" w:hAnsi="黑体" w:eastAsia="黑体"/>
          <w:bCs/>
          <w:color w:val="auto"/>
          <w:spacing w:val="-2"/>
          <w:szCs w:val="21"/>
          <w:highlight w:val="none"/>
          <w:lang w:val="en-US" w:eastAsia="zh-CN"/>
        </w:rPr>
        <w:t>三</w:t>
      </w:r>
      <w:r>
        <w:rPr>
          <w:rFonts w:hint="eastAsia" w:ascii="黑体" w:hAnsi="黑体" w:eastAsia="黑体"/>
          <w:bCs/>
          <w:color w:val="auto"/>
          <w:spacing w:val="-2"/>
          <w:szCs w:val="21"/>
          <w:highlight w:val="none"/>
        </w:rPr>
        <w:t>名为中标候选人，</w:t>
      </w:r>
      <w:r>
        <w:rPr>
          <w:rFonts w:hint="eastAsia" w:ascii="黑体" w:hAnsi="黑体" w:eastAsia="黑体"/>
          <w:bCs/>
          <w:color w:val="auto"/>
          <w:spacing w:val="-2"/>
          <w:szCs w:val="21"/>
          <w:highlight w:val="none"/>
          <w:lang w:val="en-US" w:eastAsia="zh-CN"/>
        </w:rPr>
        <w:t>第十四、十五</w:t>
      </w:r>
      <w:r>
        <w:rPr>
          <w:rFonts w:hint="eastAsia" w:ascii="黑体" w:hAnsi="黑体" w:eastAsia="黑体"/>
          <w:bCs/>
          <w:color w:val="auto"/>
          <w:spacing w:val="-2"/>
          <w:szCs w:val="21"/>
          <w:highlight w:val="none"/>
        </w:rPr>
        <w:t>名为候补中标候选人</w:t>
      </w:r>
      <w:r>
        <w:rPr>
          <w:rFonts w:hint="eastAsia" w:ascii="黑体" w:hAnsi="黑体" w:eastAsia="黑体"/>
          <w:bCs/>
          <w:color w:val="auto"/>
          <w:szCs w:val="21"/>
          <w:highlight w:val="none"/>
        </w:rPr>
        <w:t>。</w:t>
      </w:r>
    </w:p>
    <w:p w14:paraId="45364EF4">
      <w:pPr>
        <w:pStyle w:val="32"/>
        <w:numPr>
          <w:ilvl w:val="0"/>
          <w:numId w:val="44"/>
        </w:numPr>
        <w:spacing w:beforeLines="100" w:line="360" w:lineRule="auto"/>
        <w:ind w:firstLineChars="0"/>
        <w:rPr>
          <w:rFonts w:ascii="黑体" w:hAnsi="黑体" w:eastAsia="黑体"/>
          <w:b/>
          <w:bCs/>
          <w:color w:val="auto"/>
          <w:szCs w:val="21"/>
          <w:highlight w:val="none"/>
        </w:rPr>
      </w:pPr>
      <w:r>
        <w:rPr>
          <w:rFonts w:hint="eastAsia" w:ascii="黑体" w:hAnsi="黑体" w:eastAsia="黑体"/>
          <w:b/>
          <w:bCs/>
          <w:color w:val="auto"/>
          <w:szCs w:val="21"/>
          <w:highlight w:val="none"/>
        </w:rPr>
        <w:t>评分及其统计</w:t>
      </w:r>
    </w:p>
    <w:p w14:paraId="4652DBBB">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按照评标程序、评分标准以及权重分配的规定，评标委员会各成员分别首先就各个投标人的商务状况、技术状况及其对招标文件要求的响应情况进行评议和比较，评出其商务评分和技术评分。各评委商务技术评分的算术平均值即为该投标人的商务技术得分（即综合得分）</w:t>
      </w:r>
      <w:r>
        <w:rPr>
          <w:rFonts w:hint="eastAsia" w:ascii="黑体" w:hAnsi="黑体" w:eastAsia="黑体"/>
          <w:bCs/>
          <w:color w:val="auto"/>
          <w:szCs w:val="21"/>
          <w:highlight w:val="none"/>
          <w:lang w:eastAsia="zh-CN"/>
        </w:rPr>
        <w:t>，</w:t>
      </w:r>
      <w:r>
        <w:rPr>
          <w:rFonts w:hint="eastAsia" w:ascii="黑体" w:hAnsi="黑体" w:eastAsia="黑体"/>
          <w:bCs/>
          <w:color w:val="auto"/>
          <w:szCs w:val="21"/>
          <w:highlight w:val="none"/>
        </w:rPr>
        <w:t>将各综合得分由高到低顺序排列，综合得分最高的投标人为第一中标候选人，综合得分次高的投标人为第二中标候选人，以此类推。</w:t>
      </w:r>
    </w:p>
    <w:p w14:paraId="76C45922">
      <w:pPr>
        <w:pStyle w:val="32"/>
        <w:numPr>
          <w:ilvl w:val="0"/>
          <w:numId w:val="43"/>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商务技术初步评审</w:t>
      </w:r>
    </w:p>
    <w:p w14:paraId="50C49A30">
      <w:pPr>
        <w:pStyle w:val="32"/>
        <w:numPr>
          <w:ilvl w:val="0"/>
          <w:numId w:val="4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委员会按照《符合性审查表》（附表二）内容对投标文件进行符合性审查，只有对《符合性审查表》所列各项作出实质性响应的投标文件才能通过符合性审查。对是否实质性响应招标文件的要求有争议的投标，评标委员会将以记名方式表决，被认为响应的得票超过半数的投标人有资格进入下一阶段的评审，否则将被淘汰。</w:t>
      </w:r>
    </w:p>
    <w:p w14:paraId="7155C6B1">
      <w:pPr>
        <w:pStyle w:val="32"/>
        <w:numPr>
          <w:ilvl w:val="0"/>
          <w:numId w:val="44"/>
        </w:numPr>
        <w:spacing w:beforeLines="100" w:line="360" w:lineRule="auto"/>
        <w:ind w:firstLineChars="0"/>
        <w:rPr>
          <w:rFonts w:ascii="黑体" w:hAnsi="黑体" w:eastAsia="黑体"/>
          <w:b/>
          <w:bCs/>
          <w:color w:val="auto"/>
          <w:szCs w:val="21"/>
          <w:highlight w:val="none"/>
        </w:rPr>
      </w:pPr>
      <w:r>
        <w:rPr>
          <w:rFonts w:hint="eastAsia" w:ascii="黑体" w:hAnsi="黑体" w:eastAsia="黑体"/>
          <w:b/>
          <w:bCs/>
          <w:color w:val="auto"/>
          <w:szCs w:val="21"/>
          <w:highlight w:val="none"/>
        </w:rPr>
        <w:t>无效投标的认定</w:t>
      </w:r>
    </w:p>
    <w:p w14:paraId="4DB09756">
      <w:pPr>
        <w:pStyle w:val="32"/>
        <w:spacing w:line="360" w:lineRule="auto"/>
        <w:ind w:left="420" w:firstLine="0" w:firstLineChars="0"/>
        <w:rPr>
          <w:rFonts w:ascii="黑体" w:hAnsi="黑体" w:eastAsia="黑体"/>
          <w:bCs/>
          <w:color w:val="auto"/>
          <w:szCs w:val="21"/>
          <w:highlight w:val="none"/>
        </w:rPr>
      </w:pPr>
      <w:r>
        <w:rPr>
          <w:rFonts w:hint="eastAsia" w:ascii="黑体" w:hAnsi="黑体" w:eastAsia="黑体"/>
          <w:bCs/>
          <w:color w:val="auto"/>
          <w:szCs w:val="21"/>
          <w:highlight w:val="none"/>
        </w:rPr>
        <w:t>按《资格性审查表》（附表一）和《符合性审查表》（附表二）所列各项，投标文件不满足招标文件要求的，将被认定为无效投标。</w:t>
      </w:r>
    </w:p>
    <w:p w14:paraId="59AE1835">
      <w:pPr>
        <w:pStyle w:val="32"/>
        <w:numPr>
          <w:ilvl w:val="0"/>
          <w:numId w:val="43"/>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详细评审</w:t>
      </w:r>
    </w:p>
    <w:p w14:paraId="6D5907E2">
      <w:pPr>
        <w:pStyle w:val="32"/>
        <w:numPr>
          <w:ilvl w:val="0"/>
          <w:numId w:val="44"/>
        </w:numPr>
        <w:tabs>
          <w:tab w:val="left" w:pos="426"/>
        </w:tabs>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详细评审是对通过初步评审的投标进行商务、技术(服务方案)的评审。详见商务技术评审表（附表三）。</w:t>
      </w:r>
    </w:p>
    <w:p w14:paraId="2685C802">
      <w:pPr>
        <w:pStyle w:val="32"/>
        <w:numPr>
          <w:ilvl w:val="0"/>
          <w:numId w:val="43"/>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商务技术评分权重分配</w:t>
      </w:r>
    </w:p>
    <w:p w14:paraId="78181EF8">
      <w:pPr>
        <w:pStyle w:val="32"/>
        <w:numPr>
          <w:ilvl w:val="0"/>
          <w:numId w:val="48"/>
        </w:numPr>
        <w:spacing w:beforeLines="50"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综合得分＝商务技术得分</w:t>
      </w:r>
      <w:r>
        <w:rPr>
          <w:rFonts w:hint="eastAsia" w:ascii="黑体" w:hAnsi="黑体" w:eastAsia="黑体"/>
          <w:bCs/>
          <w:color w:val="auto"/>
          <w:szCs w:val="21"/>
          <w:highlight w:val="none"/>
          <w:lang w:val="en-US" w:eastAsia="zh-CN"/>
        </w:rPr>
        <w:t>100分+附加分10分=110分</w:t>
      </w:r>
    </w:p>
    <w:p w14:paraId="788ED154">
      <w:pPr>
        <w:pStyle w:val="32"/>
        <w:numPr>
          <w:ilvl w:val="0"/>
          <w:numId w:val="43"/>
        </w:numPr>
        <w:spacing w:beforeLines="100" w:line="360" w:lineRule="auto"/>
        <w:ind w:firstLineChars="0"/>
        <w:rPr>
          <w:rFonts w:ascii="黑体" w:hAnsi="黑体" w:eastAsia="黑体"/>
          <w:b/>
          <w:bCs/>
          <w:color w:val="auto"/>
          <w:sz w:val="24"/>
          <w:szCs w:val="24"/>
          <w:highlight w:val="none"/>
        </w:rPr>
      </w:pPr>
      <w:r>
        <w:rPr>
          <w:rFonts w:hint="eastAsia" w:ascii="黑体" w:hAnsi="黑体" w:eastAsia="黑体"/>
          <w:b/>
          <w:bCs/>
          <w:color w:val="auto"/>
          <w:sz w:val="24"/>
          <w:szCs w:val="24"/>
          <w:highlight w:val="none"/>
        </w:rPr>
        <w:t>中标候选人</w:t>
      </w:r>
    </w:p>
    <w:p w14:paraId="634BFED4">
      <w:pPr>
        <w:pStyle w:val="32"/>
        <w:numPr>
          <w:ilvl w:val="0"/>
          <w:numId w:val="4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评标委员会将出具评标报告，并排序推荐</w:t>
      </w:r>
      <w:r>
        <w:rPr>
          <w:rFonts w:hint="eastAsia" w:ascii="黑体" w:hAnsi="黑体" w:eastAsia="黑体"/>
          <w:bCs/>
          <w:color w:val="auto"/>
          <w:spacing w:val="-2"/>
          <w:szCs w:val="21"/>
          <w:highlight w:val="none"/>
          <w:lang w:eastAsia="zh-CN"/>
        </w:rPr>
        <w:t>十</w:t>
      </w:r>
      <w:r>
        <w:rPr>
          <w:rFonts w:hint="eastAsia" w:ascii="黑体" w:hAnsi="黑体" w:eastAsia="黑体"/>
          <w:bCs/>
          <w:color w:val="auto"/>
          <w:spacing w:val="-2"/>
          <w:szCs w:val="21"/>
          <w:highlight w:val="none"/>
          <w:lang w:val="en-US" w:eastAsia="zh-CN"/>
        </w:rPr>
        <w:t>五</w:t>
      </w:r>
      <w:r>
        <w:rPr>
          <w:rFonts w:hint="eastAsia" w:ascii="黑体" w:hAnsi="黑体" w:eastAsia="黑体"/>
          <w:bCs/>
          <w:color w:val="auto"/>
          <w:spacing w:val="-2"/>
          <w:szCs w:val="21"/>
          <w:highlight w:val="none"/>
        </w:rPr>
        <w:t>名候选人，前十</w:t>
      </w:r>
      <w:r>
        <w:rPr>
          <w:rFonts w:hint="eastAsia" w:ascii="黑体" w:hAnsi="黑体" w:eastAsia="黑体"/>
          <w:bCs/>
          <w:color w:val="auto"/>
          <w:spacing w:val="-2"/>
          <w:szCs w:val="21"/>
          <w:highlight w:val="none"/>
          <w:lang w:val="en-US" w:eastAsia="zh-CN"/>
        </w:rPr>
        <w:t>三</w:t>
      </w:r>
      <w:r>
        <w:rPr>
          <w:rFonts w:hint="eastAsia" w:ascii="黑体" w:hAnsi="黑体" w:eastAsia="黑体"/>
          <w:bCs/>
          <w:color w:val="auto"/>
          <w:spacing w:val="-2"/>
          <w:szCs w:val="21"/>
          <w:highlight w:val="none"/>
        </w:rPr>
        <w:t>名为中标候选人，</w:t>
      </w:r>
      <w:r>
        <w:rPr>
          <w:rFonts w:hint="eastAsia" w:ascii="黑体" w:hAnsi="黑体" w:eastAsia="黑体"/>
          <w:bCs/>
          <w:color w:val="auto"/>
          <w:spacing w:val="-2"/>
          <w:szCs w:val="21"/>
          <w:highlight w:val="none"/>
          <w:lang w:val="en-US" w:eastAsia="zh-CN"/>
        </w:rPr>
        <w:t>第十四、十五名</w:t>
      </w:r>
      <w:r>
        <w:rPr>
          <w:rFonts w:hint="eastAsia" w:ascii="黑体" w:hAnsi="黑体" w:eastAsia="黑体"/>
          <w:bCs/>
          <w:color w:val="auto"/>
          <w:spacing w:val="-2"/>
          <w:szCs w:val="21"/>
          <w:highlight w:val="none"/>
        </w:rPr>
        <w:t>为候补中标候选人</w:t>
      </w:r>
      <w:r>
        <w:rPr>
          <w:rFonts w:hint="eastAsia" w:ascii="黑体" w:hAnsi="黑体" w:eastAsia="黑体"/>
          <w:bCs/>
          <w:color w:val="auto"/>
          <w:szCs w:val="21"/>
          <w:highlight w:val="none"/>
        </w:rPr>
        <w:t>。</w:t>
      </w:r>
    </w:p>
    <w:p w14:paraId="5441B208">
      <w:pPr>
        <w:pStyle w:val="32"/>
        <w:numPr>
          <w:ilvl w:val="0"/>
          <w:numId w:val="50"/>
        </w:numPr>
        <w:spacing w:line="360" w:lineRule="auto"/>
        <w:ind w:firstLineChars="0"/>
        <w:rPr>
          <w:rFonts w:ascii="黑体" w:hAnsi="黑体" w:eastAsia="黑体"/>
          <w:bCs/>
          <w:color w:val="auto"/>
          <w:spacing w:val="-2"/>
          <w:szCs w:val="21"/>
          <w:highlight w:val="none"/>
        </w:rPr>
      </w:pPr>
      <w:r>
        <w:rPr>
          <w:rFonts w:hint="eastAsia" w:ascii="黑体" w:hAnsi="黑体" w:eastAsia="黑体"/>
          <w:bCs/>
          <w:color w:val="auto"/>
          <w:spacing w:val="-2"/>
          <w:szCs w:val="21"/>
          <w:highlight w:val="none"/>
        </w:rPr>
        <w:t>推荐中标候选投标人名单：本项目推荐十</w:t>
      </w:r>
      <w:r>
        <w:rPr>
          <w:rFonts w:hint="eastAsia" w:ascii="黑体" w:hAnsi="黑体" w:eastAsia="黑体"/>
          <w:bCs/>
          <w:color w:val="auto"/>
          <w:spacing w:val="-2"/>
          <w:szCs w:val="21"/>
          <w:highlight w:val="none"/>
          <w:lang w:val="en-US" w:eastAsia="zh-CN"/>
        </w:rPr>
        <w:t>五</w:t>
      </w:r>
      <w:r>
        <w:rPr>
          <w:rFonts w:hint="eastAsia" w:ascii="黑体" w:hAnsi="黑体" w:eastAsia="黑体"/>
          <w:bCs/>
          <w:color w:val="auto"/>
          <w:spacing w:val="-2"/>
          <w:szCs w:val="21"/>
          <w:highlight w:val="none"/>
        </w:rPr>
        <w:t>名候选人，前十</w:t>
      </w:r>
      <w:r>
        <w:rPr>
          <w:rFonts w:hint="eastAsia" w:ascii="黑体" w:hAnsi="黑体" w:eastAsia="黑体"/>
          <w:bCs/>
          <w:color w:val="auto"/>
          <w:spacing w:val="-2"/>
          <w:szCs w:val="21"/>
          <w:highlight w:val="none"/>
          <w:lang w:val="en-US" w:eastAsia="zh-CN"/>
        </w:rPr>
        <w:t>三</w:t>
      </w:r>
      <w:r>
        <w:rPr>
          <w:rFonts w:hint="eastAsia" w:ascii="黑体" w:hAnsi="黑体" w:eastAsia="黑体"/>
          <w:bCs/>
          <w:color w:val="auto"/>
          <w:spacing w:val="-2"/>
          <w:szCs w:val="21"/>
          <w:highlight w:val="none"/>
        </w:rPr>
        <w:t>名为中标候选人，</w:t>
      </w:r>
      <w:r>
        <w:rPr>
          <w:rFonts w:hint="eastAsia" w:ascii="黑体" w:hAnsi="黑体" w:eastAsia="黑体"/>
          <w:bCs/>
          <w:color w:val="auto"/>
          <w:spacing w:val="-2"/>
          <w:szCs w:val="21"/>
          <w:highlight w:val="none"/>
          <w:lang w:val="en-US" w:eastAsia="zh-CN"/>
        </w:rPr>
        <w:t>第十四、十五名</w:t>
      </w:r>
      <w:r>
        <w:rPr>
          <w:rFonts w:hint="eastAsia" w:ascii="黑体" w:hAnsi="黑体" w:eastAsia="黑体"/>
          <w:bCs/>
          <w:color w:val="auto"/>
          <w:spacing w:val="-2"/>
          <w:szCs w:val="21"/>
          <w:highlight w:val="none"/>
        </w:rPr>
        <w:t>为候补中标候选人。将各有效投标人的综合得分由高到低顺序排列。若综合得分相同的，则得分相同的投标人按利率水平指标的得分由高到低进行排序；综合得分相同且收利率水平指标得分相同的，按经营状况指标的得分由高到低排序；综合得分、收益性评价指标、经营状况指标的得分相同的，按对地方贡献指标的得分由高到低排序。排名第一的投标人为第一中标候选人，排名第二的投标人为第二中标候选人，以此类推。</w:t>
      </w:r>
    </w:p>
    <w:p w14:paraId="507815CA">
      <w:pPr>
        <w:pStyle w:val="32"/>
        <w:numPr>
          <w:ilvl w:val="0"/>
          <w:numId w:val="5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如果推荐的中标候选人放弃中标资格，或因不可抗力无法签订合同，则采购人可按推荐的</w:t>
      </w:r>
      <w:r>
        <w:rPr>
          <w:rFonts w:hint="eastAsia" w:ascii="黑体" w:hAnsi="黑体" w:eastAsia="黑体"/>
          <w:bCs/>
          <w:color w:val="auto"/>
          <w:spacing w:val="-2"/>
          <w:szCs w:val="21"/>
          <w:highlight w:val="none"/>
        </w:rPr>
        <w:t>候补中标候选人</w:t>
      </w:r>
      <w:r>
        <w:rPr>
          <w:rFonts w:hint="eastAsia" w:ascii="黑体" w:hAnsi="黑体" w:eastAsia="黑体"/>
          <w:bCs/>
          <w:color w:val="auto"/>
          <w:szCs w:val="21"/>
          <w:highlight w:val="none"/>
        </w:rPr>
        <w:t>排名顺序依次确定中标人，亦可决定组织重新招标。</w:t>
      </w:r>
    </w:p>
    <w:p w14:paraId="0E17F9FB">
      <w:pPr>
        <w:pStyle w:val="32"/>
        <w:numPr>
          <w:ilvl w:val="0"/>
          <w:numId w:val="5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如果推荐的中标候选人在合同签订前经采购人查证、或以其他方式取证证实其投标资料造假而被取消中标资格的，则采购人可按推荐的</w:t>
      </w:r>
      <w:r>
        <w:rPr>
          <w:rFonts w:hint="eastAsia" w:ascii="黑体" w:hAnsi="黑体" w:eastAsia="黑体"/>
          <w:bCs/>
          <w:color w:val="auto"/>
          <w:spacing w:val="-2"/>
          <w:szCs w:val="21"/>
          <w:highlight w:val="none"/>
        </w:rPr>
        <w:t>候补中标候选人</w:t>
      </w:r>
      <w:r>
        <w:rPr>
          <w:rFonts w:hint="eastAsia" w:ascii="黑体" w:hAnsi="黑体" w:eastAsia="黑体"/>
          <w:bCs/>
          <w:color w:val="auto"/>
          <w:szCs w:val="21"/>
          <w:highlight w:val="none"/>
        </w:rPr>
        <w:t>排名顺序依次确定中标人，亦可决定组织重新招标。</w:t>
      </w:r>
    </w:p>
    <w:p w14:paraId="180A84D5">
      <w:pPr>
        <w:pStyle w:val="32"/>
        <w:numPr>
          <w:ilvl w:val="0"/>
          <w:numId w:val="50"/>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根据评标委员会的评标结果，采购人依法确定中标人，也可以事先授权评标委员会直接确定中标人。</w:t>
      </w:r>
    </w:p>
    <w:p w14:paraId="0B373123">
      <w:pPr>
        <w:pStyle w:val="32"/>
        <w:pageBreakBefore/>
        <w:numPr>
          <w:ilvl w:val="0"/>
          <w:numId w:val="51"/>
        </w:numPr>
        <w:spacing w:beforeLines="50" w:afterLines="100" w:line="360" w:lineRule="auto"/>
        <w:ind w:left="422" w:hanging="422" w:hangingChars="200"/>
        <w:rPr>
          <w:rFonts w:ascii="黑体" w:hAnsi="黑体" w:eastAsia="黑体"/>
          <w:b/>
          <w:bCs/>
          <w:color w:val="auto"/>
          <w:szCs w:val="21"/>
          <w:highlight w:val="none"/>
        </w:rPr>
      </w:pPr>
      <w:r>
        <w:rPr>
          <w:rFonts w:hint="eastAsia" w:ascii="黑体" w:hAnsi="黑体" w:eastAsia="黑体"/>
          <w:b/>
          <w:bCs/>
          <w:color w:val="auto"/>
          <w:szCs w:val="21"/>
          <w:highlight w:val="none"/>
        </w:rPr>
        <w:t>附表一 资格性审查表</w:t>
      </w:r>
      <w:r>
        <w:rPr>
          <w:rFonts w:hint="eastAsia" w:ascii="黑体" w:hAnsi="黑体" w:eastAsia="黑体"/>
          <w:bCs/>
          <w:color w:val="auto"/>
          <w:szCs w:val="21"/>
          <w:highlight w:val="none"/>
        </w:rPr>
        <w:t>（注：本表无需投标人填写）</w:t>
      </w:r>
    </w:p>
    <w:tbl>
      <w:tblPr>
        <w:tblStyle w:val="2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4284"/>
        <w:gridCol w:w="1110"/>
        <w:gridCol w:w="1110"/>
        <w:gridCol w:w="1109"/>
      </w:tblGrid>
      <w:tr w14:paraId="1D6D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915" w:type="dxa"/>
            <w:vAlign w:val="center"/>
          </w:tcPr>
          <w:p w14:paraId="42AE3BDD">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序号</w:t>
            </w:r>
          </w:p>
        </w:tc>
        <w:tc>
          <w:tcPr>
            <w:tcW w:w="4284" w:type="dxa"/>
            <w:tcBorders>
              <w:bottom w:val="single" w:color="auto" w:sz="4" w:space="0"/>
              <w:tl2br w:val="single" w:color="auto" w:sz="4" w:space="0"/>
            </w:tcBorders>
            <w:vAlign w:val="top"/>
          </w:tcPr>
          <w:p w14:paraId="59DE2FF3">
            <w:pPr>
              <w:spacing w:line="360" w:lineRule="auto"/>
              <w:ind w:left="210" w:hanging="210" w:hangingChars="100"/>
              <w:rPr>
                <w:rFonts w:ascii="黑体" w:hAnsi="黑体" w:eastAsia="黑体"/>
                <w:bCs/>
                <w:color w:val="auto"/>
                <w:szCs w:val="21"/>
                <w:highlight w:val="none"/>
              </w:rPr>
            </w:pPr>
            <w:r>
              <w:rPr>
                <w:rFonts w:hint="eastAsia" w:ascii="黑体" w:hAnsi="黑体" w:eastAsia="黑体"/>
                <w:bCs/>
                <w:color w:val="auto"/>
                <w:szCs w:val="21"/>
                <w:highlight w:val="none"/>
              </w:rPr>
              <w:t xml:space="preserve">                               投标人</w:t>
            </w:r>
          </w:p>
          <w:p w14:paraId="24D3EA7E">
            <w:pPr>
              <w:spacing w:line="360" w:lineRule="auto"/>
              <w:ind w:firstLine="105" w:firstLineChars="50"/>
              <w:rPr>
                <w:rFonts w:ascii="黑体" w:hAnsi="黑体" w:eastAsia="黑体"/>
                <w:bCs/>
                <w:color w:val="auto"/>
                <w:szCs w:val="21"/>
                <w:highlight w:val="none"/>
              </w:rPr>
            </w:pPr>
            <w:r>
              <w:rPr>
                <w:rFonts w:hint="eastAsia" w:ascii="黑体" w:hAnsi="黑体" w:eastAsia="黑体"/>
                <w:bCs/>
                <w:color w:val="auto"/>
                <w:szCs w:val="21"/>
                <w:highlight w:val="none"/>
              </w:rPr>
              <w:t>审查内容</w:t>
            </w:r>
          </w:p>
        </w:tc>
        <w:tc>
          <w:tcPr>
            <w:tcW w:w="1110" w:type="dxa"/>
            <w:vAlign w:val="center"/>
          </w:tcPr>
          <w:p w14:paraId="1468AD2C">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投标人A</w:t>
            </w:r>
          </w:p>
        </w:tc>
        <w:tc>
          <w:tcPr>
            <w:tcW w:w="1110" w:type="dxa"/>
            <w:vAlign w:val="center"/>
          </w:tcPr>
          <w:p w14:paraId="6D848F96">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投标人B</w:t>
            </w:r>
          </w:p>
        </w:tc>
        <w:tc>
          <w:tcPr>
            <w:tcW w:w="1109" w:type="dxa"/>
            <w:vAlign w:val="center"/>
          </w:tcPr>
          <w:p w14:paraId="64065C4C">
            <w:pPr>
              <w:spacing w:line="360" w:lineRule="auto"/>
              <w:jc w:val="center"/>
              <w:rPr>
                <w:rFonts w:ascii="黑体" w:hAnsi="黑体" w:eastAsia="黑体"/>
                <w:bCs/>
                <w:color w:val="auto"/>
                <w:szCs w:val="21"/>
                <w:highlight w:val="none"/>
              </w:rPr>
            </w:pPr>
            <w:r>
              <w:rPr>
                <w:rFonts w:ascii="Arial" w:hAnsi="Arial" w:eastAsia="黑体" w:cs="Arial"/>
                <w:bCs/>
                <w:color w:val="auto"/>
                <w:szCs w:val="21"/>
                <w:highlight w:val="none"/>
              </w:rPr>
              <w:t>…</w:t>
            </w:r>
          </w:p>
        </w:tc>
      </w:tr>
      <w:tr w14:paraId="1CEA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5" w:type="dxa"/>
            <w:vAlign w:val="center"/>
          </w:tcPr>
          <w:p w14:paraId="5D8494E1">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1</w:t>
            </w:r>
          </w:p>
        </w:tc>
        <w:tc>
          <w:tcPr>
            <w:tcW w:w="4284" w:type="dxa"/>
            <w:vAlign w:val="center"/>
          </w:tcPr>
          <w:p w14:paraId="21286F38">
            <w:pPr>
              <w:keepNext w:val="0"/>
              <w:keepLines w:val="0"/>
              <w:pageBreakBefore w:val="0"/>
              <w:widowControl w:val="0"/>
              <w:kinsoku/>
              <w:wordWrap/>
              <w:overflowPunct/>
              <w:topLinePunct w:val="0"/>
              <w:autoSpaceDE/>
              <w:autoSpaceDN/>
              <w:bidi w:val="0"/>
              <w:adjustRightInd/>
              <w:snapToGrid/>
              <w:jc w:val="left"/>
              <w:textAlignment w:val="auto"/>
              <w:rPr>
                <w:rFonts w:ascii="黑体" w:hAnsi="黑体" w:eastAsia="黑体"/>
                <w:color w:val="auto"/>
                <w:szCs w:val="21"/>
                <w:highlight w:val="none"/>
              </w:rPr>
            </w:pPr>
            <w:r>
              <w:rPr>
                <w:rFonts w:hint="eastAsia" w:ascii="黑体" w:hAnsi="黑体" w:eastAsia="黑体"/>
                <w:color w:val="auto"/>
                <w:szCs w:val="21"/>
                <w:highlight w:val="none"/>
              </w:rPr>
              <w:t>为在国家金融监管机构正式注册的国有、股份制商业银行，在东莞市设有分行或以上分支机构，并在</w:t>
            </w:r>
            <w:r>
              <w:rPr>
                <w:rFonts w:hint="eastAsia" w:ascii="黑体" w:hAnsi="黑体" w:eastAsia="黑体"/>
                <w:color w:val="auto"/>
                <w:szCs w:val="21"/>
                <w:highlight w:val="none"/>
                <w:lang w:val="en-US" w:eastAsia="zh-CN"/>
              </w:rPr>
              <w:t>松山湖高新区</w:t>
            </w:r>
            <w:r>
              <w:rPr>
                <w:rFonts w:hint="eastAsia" w:ascii="黑体" w:hAnsi="黑体" w:eastAsia="黑体"/>
                <w:color w:val="auto"/>
                <w:szCs w:val="21"/>
                <w:highlight w:val="none"/>
              </w:rPr>
              <w:t>设有支行或以上级别网点。</w:t>
            </w:r>
          </w:p>
        </w:tc>
        <w:tc>
          <w:tcPr>
            <w:tcW w:w="1110" w:type="dxa"/>
            <w:vAlign w:val="center"/>
          </w:tcPr>
          <w:p w14:paraId="0EF27D10">
            <w:pPr>
              <w:spacing w:line="360" w:lineRule="auto"/>
              <w:jc w:val="center"/>
              <w:rPr>
                <w:rFonts w:ascii="黑体" w:hAnsi="黑体" w:eastAsia="黑体"/>
                <w:bCs/>
                <w:color w:val="auto"/>
                <w:szCs w:val="21"/>
                <w:highlight w:val="none"/>
              </w:rPr>
            </w:pPr>
          </w:p>
        </w:tc>
        <w:tc>
          <w:tcPr>
            <w:tcW w:w="1110" w:type="dxa"/>
            <w:vAlign w:val="center"/>
          </w:tcPr>
          <w:p w14:paraId="4B16471D">
            <w:pPr>
              <w:spacing w:line="360" w:lineRule="auto"/>
              <w:jc w:val="center"/>
              <w:rPr>
                <w:rFonts w:ascii="黑体" w:hAnsi="黑体" w:eastAsia="黑体"/>
                <w:bCs/>
                <w:color w:val="auto"/>
                <w:szCs w:val="21"/>
                <w:highlight w:val="none"/>
              </w:rPr>
            </w:pPr>
          </w:p>
        </w:tc>
        <w:tc>
          <w:tcPr>
            <w:tcW w:w="1109" w:type="dxa"/>
            <w:vAlign w:val="center"/>
          </w:tcPr>
          <w:p w14:paraId="54EF3727">
            <w:pPr>
              <w:spacing w:line="360" w:lineRule="auto"/>
              <w:jc w:val="center"/>
              <w:rPr>
                <w:rFonts w:ascii="黑体" w:hAnsi="黑体" w:eastAsia="黑体"/>
                <w:bCs/>
                <w:color w:val="auto"/>
                <w:szCs w:val="21"/>
                <w:highlight w:val="none"/>
              </w:rPr>
            </w:pPr>
          </w:p>
        </w:tc>
      </w:tr>
      <w:tr w14:paraId="6CAC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5" w:type="dxa"/>
            <w:vAlign w:val="center"/>
          </w:tcPr>
          <w:p w14:paraId="74D50DE5">
            <w:pPr>
              <w:spacing w:line="360" w:lineRule="auto"/>
              <w:jc w:val="center"/>
              <w:rPr>
                <w:rFonts w:hint="eastAsia" w:ascii="黑体" w:hAnsi="黑体" w:eastAsia="黑体"/>
                <w:bCs/>
                <w:color w:val="auto"/>
                <w:szCs w:val="21"/>
                <w:highlight w:val="none"/>
                <w:lang w:val="en-US" w:eastAsia="zh-CN"/>
              </w:rPr>
            </w:pPr>
            <w:r>
              <w:rPr>
                <w:rFonts w:hint="eastAsia" w:ascii="黑体" w:hAnsi="黑体" w:eastAsia="黑体"/>
                <w:bCs/>
                <w:color w:val="auto"/>
                <w:szCs w:val="21"/>
                <w:highlight w:val="none"/>
                <w:lang w:val="en-US" w:eastAsia="zh-CN"/>
              </w:rPr>
              <w:t>2</w:t>
            </w:r>
          </w:p>
        </w:tc>
        <w:tc>
          <w:tcPr>
            <w:tcW w:w="4284" w:type="dxa"/>
            <w:vAlign w:val="center"/>
          </w:tcPr>
          <w:p w14:paraId="083E55E7">
            <w:pPr>
              <w:pStyle w:val="3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olor w:val="auto"/>
                <w:szCs w:val="21"/>
                <w:highlight w:val="none"/>
              </w:rPr>
            </w:pPr>
            <w:r>
              <w:rPr>
                <w:rFonts w:hint="eastAsia" w:ascii="黑体" w:hAnsi="黑体" w:eastAsia="黑体" w:cs="Times New Roman"/>
                <w:color w:val="auto"/>
                <w:kern w:val="2"/>
                <w:sz w:val="21"/>
                <w:szCs w:val="21"/>
                <w:highlight w:val="none"/>
                <w:lang w:val="en-US" w:eastAsia="zh-CN" w:bidi="ar-SA"/>
              </w:rPr>
              <w:t>单位负责人与其他投标人单位负责人不同一人或者不存在直接控股、管理关系。没有为本项目提供整体设计、规范编制或者项目管理、监理、检测等服务。</w:t>
            </w:r>
          </w:p>
        </w:tc>
        <w:tc>
          <w:tcPr>
            <w:tcW w:w="1110" w:type="dxa"/>
            <w:vAlign w:val="center"/>
          </w:tcPr>
          <w:p w14:paraId="1CDB5AAC">
            <w:pPr>
              <w:spacing w:line="360" w:lineRule="auto"/>
              <w:jc w:val="center"/>
              <w:rPr>
                <w:rFonts w:ascii="黑体" w:hAnsi="黑体" w:eastAsia="黑体"/>
                <w:bCs/>
                <w:color w:val="auto"/>
                <w:szCs w:val="21"/>
                <w:highlight w:val="none"/>
              </w:rPr>
            </w:pPr>
          </w:p>
        </w:tc>
        <w:tc>
          <w:tcPr>
            <w:tcW w:w="1110" w:type="dxa"/>
            <w:vAlign w:val="center"/>
          </w:tcPr>
          <w:p w14:paraId="460657F3">
            <w:pPr>
              <w:spacing w:line="360" w:lineRule="auto"/>
              <w:jc w:val="center"/>
              <w:rPr>
                <w:rFonts w:ascii="黑体" w:hAnsi="黑体" w:eastAsia="黑体"/>
                <w:bCs/>
                <w:color w:val="auto"/>
                <w:szCs w:val="21"/>
                <w:highlight w:val="none"/>
              </w:rPr>
            </w:pPr>
          </w:p>
        </w:tc>
        <w:tc>
          <w:tcPr>
            <w:tcW w:w="1109" w:type="dxa"/>
            <w:vAlign w:val="center"/>
          </w:tcPr>
          <w:p w14:paraId="1C865FBB">
            <w:pPr>
              <w:spacing w:line="360" w:lineRule="auto"/>
              <w:jc w:val="center"/>
              <w:rPr>
                <w:rFonts w:ascii="黑体" w:hAnsi="黑体" w:eastAsia="黑体"/>
                <w:bCs/>
                <w:color w:val="auto"/>
                <w:szCs w:val="21"/>
                <w:highlight w:val="none"/>
              </w:rPr>
            </w:pPr>
          </w:p>
        </w:tc>
      </w:tr>
      <w:tr w14:paraId="34C2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5" w:type="dxa"/>
            <w:vAlign w:val="center"/>
          </w:tcPr>
          <w:p w14:paraId="72B0B3F4">
            <w:pPr>
              <w:spacing w:line="360" w:lineRule="auto"/>
              <w:jc w:val="center"/>
              <w:rPr>
                <w:rFonts w:hint="eastAsia" w:ascii="黑体" w:hAnsi="黑体" w:eastAsia="黑体"/>
                <w:bCs/>
                <w:color w:val="auto"/>
                <w:szCs w:val="21"/>
                <w:highlight w:val="none"/>
                <w:lang w:val="en-US" w:eastAsia="zh-CN"/>
              </w:rPr>
            </w:pPr>
            <w:r>
              <w:rPr>
                <w:rFonts w:hint="eastAsia" w:ascii="黑体" w:hAnsi="黑体" w:eastAsia="黑体"/>
                <w:bCs/>
                <w:color w:val="auto"/>
                <w:szCs w:val="21"/>
                <w:highlight w:val="none"/>
                <w:lang w:val="en-US" w:eastAsia="zh-CN"/>
              </w:rPr>
              <w:t>3</w:t>
            </w:r>
          </w:p>
        </w:tc>
        <w:tc>
          <w:tcPr>
            <w:tcW w:w="4284" w:type="dxa"/>
            <w:vAlign w:val="center"/>
          </w:tcPr>
          <w:p w14:paraId="6780E242">
            <w:pPr>
              <w:pStyle w:val="32"/>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黑体" w:hAnsi="黑体" w:eastAsia="黑体"/>
                <w:color w:val="auto"/>
                <w:szCs w:val="21"/>
                <w:highlight w:val="none"/>
              </w:rPr>
            </w:pPr>
            <w:r>
              <w:rPr>
                <w:rFonts w:ascii="黑体" w:hAnsi="黑体" w:eastAsia="黑体"/>
                <w:color w:val="auto"/>
                <w:szCs w:val="21"/>
                <w:highlight w:val="none"/>
              </w:rPr>
              <w:t>投标人</w:t>
            </w:r>
            <w:r>
              <w:rPr>
                <w:rFonts w:hint="eastAsia" w:ascii="黑体" w:hAnsi="黑体" w:eastAsia="黑体"/>
                <w:color w:val="auto"/>
                <w:szCs w:val="21"/>
                <w:highlight w:val="none"/>
              </w:rPr>
              <w:t>(</w:t>
            </w:r>
            <w:r>
              <w:rPr>
                <w:rFonts w:ascii="黑体" w:hAnsi="黑体" w:eastAsia="黑体"/>
                <w:color w:val="auto"/>
                <w:szCs w:val="21"/>
                <w:highlight w:val="none"/>
              </w:rPr>
              <w:t>含其授权的下属单位、分支机构</w:t>
            </w:r>
            <w:r>
              <w:rPr>
                <w:rFonts w:hint="eastAsia" w:ascii="黑体" w:hAnsi="黑体" w:eastAsia="黑体"/>
                <w:color w:val="auto"/>
                <w:szCs w:val="21"/>
                <w:highlight w:val="none"/>
              </w:rPr>
              <w:t>)参加本次采购活动前三年内，在经营活动中没有重大违法违规记录</w:t>
            </w:r>
          </w:p>
        </w:tc>
        <w:tc>
          <w:tcPr>
            <w:tcW w:w="1110" w:type="dxa"/>
            <w:vAlign w:val="center"/>
          </w:tcPr>
          <w:p w14:paraId="474B0746">
            <w:pPr>
              <w:spacing w:line="360" w:lineRule="auto"/>
              <w:jc w:val="center"/>
              <w:rPr>
                <w:rFonts w:ascii="黑体" w:hAnsi="黑体" w:eastAsia="黑体"/>
                <w:bCs/>
                <w:color w:val="auto"/>
                <w:szCs w:val="21"/>
                <w:highlight w:val="none"/>
              </w:rPr>
            </w:pPr>
          </w:p>
        </w:tc>
        <w:tc>
          <w:tcPr>
            <w:tcW w:w="1110" w:type="dxa"/>
            <w:vAlign w:val="center"/>
          </w:tcPr>
          <w:p w14:paraId="0D3D9FF6">
            <w:pPr>
              <w:spacing w:line="360" w:lineRule="auto"/>
              <w:jc w:val="center"/>
              <w:rPr>
                <w:rFonts w:ascii="黑体" w:hAnsi="黑体" w:eastAsia="黑体"/>
                <w:bCs/>
                <w:color w:val="auto"/>
                <w:szCs w:val="21"/>
                <w:highlight w:val="none"/>
              </w:rPr>
            </w:pPr>
          </w:p>
        </w:tc>
        <w:tc>
          <w:tcPr>
            <w:tcW w:w="1109" w:type="dxa"/>
            <w:vAlign w:val="center"/>
          </w:tcPr>
          <w:p w14:paraId="3B74E35C">
            <w:pPr>
              <w:spacing w:line="360" w:lineRule="auto"/>
              <w:jc w:val="center"/>
              <w:rPr>
                <w:rFonts w:ascii="黑体" w:hAnsi="黑体" w:eastAsia="黑体"/>
                <w:bCs/>
                <w:color w:val="auto"/>
                <w:szCs w:val="21"/>
                <w:highlight w:val="none"/>
              </w:rPr>
            </w:pPr>
          </w:p>
        </w:tc>
      </w:tr>
      <w:tr w14:paraId="198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5" w:type="dxa"/>
            <w:vAlign w:val="center"/>
          </w:tcPr>
          <w:p w14:paraId="1B016B5C">
            <w:pPr>
              <w:spacing w:line="360" w:lineRule="auto"/>
              <w:jc w:val="center"/>
              <w:rPr>
                <w:rFonts w:hint="eastAsia" w:ascii="黑体" w:hAnsi="黑体" w:eastAsia="黑体"/>
                <w:bCs/>
                <w:color w:val="auto"/>
                <w:szCs w:val="21"/>
                <w:highlight w:val="none"/>
                <w:lang w:val="en-US" w:eastAsia="zh-CN"/>
              </w:rPr>
            </w:pPr>
            <w:r>
              <w:rPr>
                <w:rFonts w:hint="eastAsia" w:ascii="黑体" w:hAnsi="黑体" w:eastAsia="黑体"/>
                <w:bCs/>
                <w:color w:val="auto"/>
                <w:szCs w:val="21"/>
                <w:highlight w:val="none"/>
                <w:lang w:val="en-US" w:eastAsia="zh-CN"/>
              </w:rPr>
              <w:t>4</w:t>
            </w:r>
          </w:p>
        </w:tc>
        <w:tc>
          <w:tcPr>
            <w:tcW w:w="4284" w:type="dxa"/>
            <w:vAlign w:val="center"/>
          </w:tcPr>
          <w:p w14:paraId="7440E8A8">
            <w:pPr>
              <w:jc w:val="left"/>
              <w:rPr>
                <w:rFonts w:hint="eastAsia" w:ascii="黑体" w:hAnsi="黑体" w:eastAsia="黑体"/>
                <w:color w:val="auto"/>
                <w:szCs w:val="21"/>
                <w:highlight w:val="none"/>
              </w:rPr>
            </w:pPr>
            <w:r>
              <w:rPr>
                <w:rFonts w:hint="eastAsia" w:ascii="黑体" w:hAnsi="黑体" w:eastAsia="黑体"/>
                <w:color w:val="auto"/>
                <w:szCs w:val="21"/>
                <w:highlight w:val="none"/>
                <w:lang w:val="en-US" w:eastAsia="zh-CN"/>
              </w:rPr>
              <w:t>非</w:t>
            </w:r>
            <w:r>
              <w:rPr>
                <w:rFonts w:hint="eastAsia" w:ascii="黑体" w:hAnsi="黑体" w:eastAsia="黑体"/>
                <w:color w:val="auto"/>
                <w:szCs w:val="21"/>
                <w:highlight w:val="none"/>
              </w:rPr>
              <w:t>联合体投标。</w:t>
            </w:r>
          </w:p>
        </w:tc>
        <w:tc>
          <w:tcPr>
            <w:tcW w:w="1110" w:type="dxa"/>
            <w:vAlign w:val="center"/>
          </w:tcPr>
          <w:p w14:paraId="63C713D6">
            <w:pPr>
              <w:spacing w:line="360" w:lineRule="auto"/>
              <w:jc w:val="center"/>
              <w:rPr>
                <w:rFonts w:ascii="黑体" w:hAnsi="黑体" w:eastAsia="黑体"/>
                <w:bCs/>
                <w:color w:val="auto"/>
                <w:szCs w:val="21"/>
                <w:highlight w:val="none"/>
              </w:rPr>
            </w:pPr>
          </w:p>
        </w:tc>
        <w:tc>
          <w:tcPr>
            <w:tcW w:w="1110" w:type="dxa"/>
            <w:vAlign w:val="center"/>
          </w:tcPr>
          <w:p w14:paraId="5F740E88">
            <w:pPr>
              <w:spacing w:line="360" w:lineRule="auto"/>
              <w:jc w:val="center"/>
              <w:rPr>
                <w:rFonts w:ascii="黑体" w:hAnsi="黑体" w:eastAsia="黑体"/>
                <w:bCs/>
                <w:color w:val="auto"/>
                <w:szCs w:val="21"/>
                <w:highlight w:val="none"/>
              </w:rPr>
            </w:pPr>
          </w:p>
        </w:tc>
        <w:tc>
          <w:tcPr>
            <w:tcW w:w="1109" w:type="dxa"/>
            <w:vAlign w:val="center"/>
          </w:tcPr>
          <w:p w14:paraId="514F6E64">
            <w:pPr>
              <w:spacing w:line="360" w:lineRule="auto"/>
              <w:jc w:val="center"/>
              <w:rPr>
                <w:rFonts w:ascii="黑体" w:hAnsi="黑体" w:eastAsia="黑体"/>
                <w:bCs/>
                <w:color w:val="auto"/>
                <w:szCs w:val="21"/>
                <w:highlight w:val="none"/>
              </w:rPr>
            </w:pPr>
          </w:p>
        </w:tc>
      </w:tr>
      <w:tr w14:paraId="173D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199" w:type="dxa"/>
            <w:gridSpan w:val="2"/>
            <w:vAlign w:val="center"/>
          </w:tcPr>
          <w:p w14:paraId="4E98821D">
            <w:pPr>
              <w:spacing w:line="360" w:lineRule="auto"/>
              <w:jc w:val="center"/>
              <w:rPr>
                <w:rFonts w:hint="eastAsia" w:ascii="黑体" w:hAnsi="黑体" w:eastAsia="黑体"/>
                <w:color w:val="auto"/>
                <w:szCs w:val="21"/>
                <w:highlight w:val="none"/>
                <w:lang w:eastAsia="zh-CN"/>
              </w:rPr>
            </w:pPr>
            <w:r>
              <w:rPr>
                <w:rFonts w:hint="eastAsia" w:ascii="黑体" w:hAnsi="黑体" w:eastAsia="黑体"/>
                <w:color w:val="auto"/>
                <w:szCs w:val="21"/>
                <w:highlight w:val="none"/>
              </w:rPr>
              <w:t>结论</w:t>
            </w:r>
            <w:r>
              <w:rPr>
                <w:rFonts w:hint="eastAsia" w:ascii="黑体" w:hAnsi="黑体" w:eastAsia="黑体"/>
                <w:color w:val="auto"/>
                <w:szCs w:val="21"/>
                <w:highlight w:val="none"/>
                <w:lang w:eastAsia="zh-CN"/>
              </w:rPr>
              <w:t>（</w:t>
            </w:r>
            <w:r>
              <w:rPr>
                <w:rFonts w:hint="eastAsia" w:ascii="黑体" w:hAnsi="黑体" w:eastAsia="黑体"/>
                <w:bCs/>
                <w:color w:val="auto"/>
                <w:szCs w:val="21"/>
                <w:highlight w:val="none"/>
              </w:rPr>
              <w:t>通过或不通过</w:t>
            </w:r>
            <w:r>
              <w:rPr>
                <w:rFonts w:hint="eastAsia" w:ascii="黑体" w:hAnsi="黑体" w:eastAsia="黑体"/>
                <w:bCs/>
                <w:color w:val="auto"/>
                <w:szCs w:val="21"/>
                <w:highlight w:val="none"/>
                <w:lang w:eastAsia="zh-CN"/>
              </w:rPr>
              <w:t>）</w:t>
            </w:r>
          </w:p>
        </w:tc>
        <w:tc>
          <w:tcPr>
            <w:tcW w:w="1110" w:type="dxa"/>
            <w:vAlign w:val="center"/>
          </w:tcPr>
          <w:p w14:paraId="7179ACD8">
            <w:pPr>
              <w:spacing w:line="360" w:lineRule="auto"/>
              <w:jc w:val="center"/>
              <w:rPr>
                <w:rFonts w:ascii="黑体" w:hAnsi="黑体" w:eastAsia="黑体"/>
                <w:b/>
                <w:bCs/>
                <w:color w:val="auto"/>
                <w:szCs w:val="21"/>
                <w:highlight w:val="none"/>
              </w:rPr>
            </w:pPr>
          </w:p>
        </w:tc>
        <w:tc>
          <w:tcPr>
            <w:tcW w:w="1110" w:type="dxa"/>
            <w:vAlign w:val="center"/>
          </w:tcPr>
          <w:p w14:paraId="5FF444F2">
            <w:pPr>
              <w:spacing w:line="360" w:lineRule="auto"/>
              <w:jc w:val="center"/>
              <w:rPr>
                <w:rFonts w:ascii="黑体" w:hAnsi="黑体" w:eastAsia="黑体"/>
                <w:b/>
                <w:bCs/>
                <w:color w:val="auto"/>
                <w:szCs w:val="21"/>
                <w:highlight w:val="none"/>
              </w:rPr>
            </w:pPr>
          </w:p>
        </w:tc>
        <w:tc>
          <w:tcPr>
            <w:tcW w:w="1109" w:type="dxa"/>
            <w:vAlign w:val="center"/>
          </w:tcPr>
          <w:p w14:paraId="64DE7901">
            <w:pPr>
              <w:spacing w:line="360" w:lineRule="auto"/>
              <w:jc w:val="center"/>
              <w:rPr>
                <w:rFonts w:ascii="黑体" w:hAnsi="黑体" w:eastAsia="黑体"/>
                <w:b/>
                <w:bCs/>
                <w:color w:val="auto"/>
                <w:szCs w:val="21"/>
                <w:highlight w:val="none"/>
              </w:rPr>
            </w:pPr>
          </w:p>
        </w:tc>
      </w:tr>
      <w:tr w14:paraId="1A00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28" w:type="dxa"/>
            <w:gridSpan w:val="5"/>
            <w:vAlign w:val="center"/>
          </w:tcPr>
          <w:p w14:paraId="145D8C0B">
            <w:pPr>
              <w:spacing w:line="360" w:lineRule="auto"/>
              <w:jc w:val="left"/>
              <w:rPr>
                <w:rFonts w:ascii="黑体" w:hAnsi="黑体" w:eastAsia="黑体"/>
                <w:bCs/>
                <w:color w:val="auto"/>
                <w:szCs w:val="21"/>
                <w:highlight w:val="none"/>
              </w:rPr>
            </w:pPr>
            <w:r>
              <w:rPr>
                <w:rFonts w:hint="eastAsia" w:ascii="黑体" w:hAnsi="黑体" w:eastAsia="黑体"/>
                <w:bCs/>
                <w:color w:val="auto"/>
                <w:szCs w:val="21"/>
                <w:highlight w:val="none"/>
              </w:rPr>
              <w:t>不通过原因说明：</w:t>
            </w:r>
          </w:p>
        </w:tc>
      </w:tr>
      <w:tr w14:paraId="7A45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28" w:type="dxa"/>
            <w:gridSpan w:val="5"/>
            <w:vAlign w:val="center"/>
          </w:tcPr>
          <w:p w14:paraId="206530DB">
            <w:pPr>
              <w:spacing w:line="360" w:lineRule="auto"/>
              <w:jc w:val="left"/>
              <w:rPr>
                <w:rFonts w:ascii="黑体" w:hAnsi="黑体" w:eastAsia="黑体"/>
                <w:bCs/>
                <w:color w:val="auto"/>
                <w:szCs w:val="21"/>
                <w:highlight w:val="none"/>
              </w:rPr>
            </w:pPr>
            <w:r>
              <w:rPr>
                <w:rFonts w:hint="eastAsia" w:ascii="黑体" w:hAnsi="黑体" w:eastAsia="黑体"/>
                <w:bCs/>
                <w:color w:val="auto"/>
                <w:szCs w:val="21"/>
                <w:highlight w:val="none"/>
              </w:rPr>
              <w:t>采购人签署：</w:t>
            </w:r>
          </w:p>
        </w:tc>
      </w:tr>
    </w:tbl>
    <w:p w14:paraId="63361833">
      <w:pPr>
        <w:pStyle w:val="32"/>
        <w:numPr>
          <w:ilvl w:val="0"/>
          <w:numId w:val="52"/>
        </w:numPr>
        <w:spacing w:beforeLines="50" w:line="360" w:lineRule="auto"/>
        <w:ind w:firstLineChars="0"/>
        <w:rPr>
          <w:rFonts w:ascii="黑体" w:hAnsi="黑体" w:eastAsia="黑体"/>
          <w:b/>
          <w:bCs/>
          <w:color w:val="auto"/>
          <w:szCs w:val="21"/>
          <w:highlight w:val="none"/>
        </w:rPr>
      </w:pPr>
      <w:r>
        <w:rPr>
          <w:rFonts w:hint="eastAsia" w:ascii="黑体" w:hAnsi="黑体" w:eastAsia="黑体"/>
          <w:b/>
          <w:bCs/>
          <w:color w:val="auto"/>
          <w:szCs w:val="21"/>
          <w:highlight w:val="none"/>
        </w:rPr>
        <w:t>注明：</w:t>
      </w:r>
    </w:p>
    <w:p w14:paraId="65768345">
      <w:pPr>
        <w:pStyle w:val="32"/>
        <w:numPr>
          <w:ilvl w:val="0"/>
          <w:numId w:val="5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采购人对投标人是否满足要求逐条标注评审意见，“是”标记为“○”，“否”标记为“×”；</w:t>
      </w:r>
    </w:p>
    <w:p w14:paraId="38CF5F2C">
      <w:pPr>
        <w:pStyle w:val="32"/>
        <w:numPr>
          <w:ilvl w:val="0"/>
          <w:numId w:val="5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评审结论栏统一填写为“通过”或“不通过” ，出现一个“×”为“不通过”；</w:t>
      </w:r>
    </w:p>
    <w:p w14:paraId="52CD2879">
      <w:pPr>
        <w:pStyle w:val="32"/>
        <w:numPr>
          <w:ilvl w:val="0"/>
          <w:numId w:val="53"/>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对结论为“不通过”的投标，要说明原因。</w:t>
      </w:r>
    </w:p>
    <w:p w14:paraId="67BE31E6">
      <w:pPr>
        <w:pStyle w:val="32"/>
        <w:spacing w:line="360" w:lineRule="auto"/>
        <w:ind w:left="420" w:firstLine="0" w:firstLineChars="0"/>
        <w:rPr>
          <w:rFonts w:ascii="黑体" w:hAnsi="黑体" w:eastAsia="黑体"/>
          <w:bCs/>
          <w:color w:val="auto"/>
          <w:szCs w:val="21"/>
          <w:highlight w:val="none"/>
        </w:rPr>
      </w:pPr>
    </w:p>
    <w:p w14:paraId="1837A258">
      <w:pPr>
        <w:pStyle w:val="32"/>
        <w:pageBreakBefore/>
        <w:numPr>
          <w:ilvl w:val="0"/>
          <w:numId w:val="51"/>
        </w:numPr>
        <w:spacing w:beforeLines="50" w:afterLines="100" w:line="360" w:lineRule="auto"/>
        <w:ind w:left="422" w:hanging="422" w:hangingChars="200"/>
        <w:rPr>
          <w:rFonts w:ascii="黑体" w:hAnsi="黑体" w:eastAsia="黑体"/>
          <w:b/>
          <w:bCs/>
          <w:color w:val="auto"/>
          <w:szCs w:val="21"/>
          <w:highlight w:val="none"/>
        </w:rPr>
      </w:pPr>
      <w:r>
        <w:rPr>
          <w:rFonts w:hint="eastAsia" w:ascii="黑体" w:hAnsi="黑体" w:eastAsia="黑体"/>
          <w:b/>
          <w:bCs/>
          <w:color w:val="auto"/>
          <w:szCs w:val="21"/>
          <w:highlight w:val="none"/>
        </w:rPr>
        <w:t>附表二  符合性审查表</w:t>
      </w:r>
      <w:r>
        <w:rPr>
          <w:rFonts w:hint="eastAsia" w:ascii="黑体" w:hAnsi="黑体" w:eastAsia="黑体"/>
          <w:bCs/>
          <w:color w:val="auto"/>
          <w:szCs w:val="21"/>
          <w:highlight w:val="none"/>
        </w:rPr>
        <w:t>（注：本表无需投标人填写）</w:t>
      </w:r>
    </w:p>
    <w:tbl>
      <w:tblPr>
        <w:tblStyle w:val="2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4284"/>
        <w:gridCol w:w="1110"/>
        <w:gridCol w:w="1110"/>
        <w:gridCol w:w="1109"/>
      </w:tblGrid>
      <w:tr w14:paraId="0804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915" w:type="dxa"/>
            <w:vAlign w:val="center"/>
          </w:tcPr>
          <w:p w14:paraId="00EE5514">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序号</w:t>
            </w:r>
          </w:p>
        </w:tc>
        <w:tc>
          <w:tcPr>
            <w:tcW w:w="4284" w:type="dxa"/>
            <w:tcBorders>
              <w:bottom w:val="single" w:color="auto" w:sz="4" w:space="0"/>
              <w:tl2br w:val="single" w:color="auto" w:sz="4" w:space="0"/>
            </w:tcBorders>
            <w:vAlign w:val="top"/>
          </w:tcPr>
          <w:p w14:paraId="2F2B2A27">
            <w:pPr>
              <w:spacing w:line="360" w:lineRule="auto"/>
              <w:ind w:left="210" w:hanging="210" w:hangingChars="100"/>
              <w:rPr>
                <w:rFonts w:ascii="黑体" w:hAnsi="黑体" w:eastAsia="黑体"/>
                <w:bCs/>
                <w:color w:val="auto"/>
                <w:szCs w:val="21"/>
                <w:highlight w:val="none"/>
              </w:rPr>
            </w:pPr>
            <w:r>
              <w:rPr>
                <w:rFonts w:hint="eastAsia" w:ascii="黑体" w:hAnsi="黑体" w:eastAsia="黑体"/>
                <w:bCs/>
                <w:color w:val="auto"/>
                <w:szCs w:val="21"/>
                <w:highlight w:val="none"/>
              </w:rPr>
              <w:t xml:space="preserve">                               投标人</w:t>
            </w:r>
          </w:p>
          <w:p w14:paraId="0DC7CC2C">
            <w:pPr>
              <w:spacing w:line="360" w:lineRule="auto"/>
              <w:ind w:firstLine="105" w:firstLineChars="50"/>
              <w:rPr>
                <w:rFonts w:ascii="黑体" w:hAnsi="黑体" w:eastAsia="黑体"/>
                <w:bCs/>
                <w:color w:val="auto"/>
                <w:szCs w:val="21"/>
                <w:highlight w:val="none"/>
              </w:rPr>
            </w:pPr>
            <w:r>
              <w:rPr>
                <w:rFonts w:hint="eastAsia" w:ascii="黑体" w:hAnsi="黑体" w:eastAsia="黑体"/>
                <w:bCs/>
                <w:color w:val="auto"/>
                <w:szCs w:val="21"/>
                <w:highlight w:val="none"/>
              </w:rPr>
              <w:t>审查内容</w:t>
            </w:r>
          </w:p>
        </w:tc>
        <w:tc>
          <w:tcPr>
            <w:tcW w:w="1110" w:type="dxa"/>
            <w:vAlign w:val="center"/>
          </w:tcPr>
          <w:p w14:paraId="645FE054">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投标人A</w:t>
            </w:r>
          </w:p>
        </w:tc>
        <w:tc>
          <w:tcPr>
            <w:tcW w:w="1110" w:type="dxa"/>
            <w:vAlign w:val="center"/>
          </w:tcPr>
          <w:p w14:paraId="4AFF019A">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投标人B</w:t>
            </w:r>
          </w:p>
        </w:tc>
        <w:tc>
          <w:tcPr>
            <w:tcW w:w="1109" w:type="dxa"/>
            <w:vAlign w:val="center"/>
          </w:tcPr>
          <w:p w14:paraId="1F0B22E7">
            <w:pPr>
              <w:spacing w:line="360" w:lineRule="auto"/>
              <w:jc w:val="center"/>
              <w:rPr>
                <w:rFonts w:ascii="黑体" w:hAnsi="黑体" w:eastAsia="黑体"/>
                <w:bCs/>
                <w:color w:val="auto"/>
                <w:szCs w:val="21"/>
                <w:highlight w:val="none"/>
              </w:rPr>
            </w:pPr>
            <w:r>
              <w:rPr>
                <w:rFonts w:ascii="Arial" w:hAnsi="Arial" w:eastAsia="黑体" w:cs="Arial"/>
                <w:bCs/>
                <w:color w:val="auto"/>
                <w:szCs w:val="21"/>
                <w:highlight w:val="none"/>
              </w:rPr>
              <w:t>…</w:t>
            </w:r>
          </w:p>
        </w:tc>
      </w:tr>
      <w:tr w14:paraId="2803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15" w:type="dxa"/>
            <w:vAlign w:val="center"/>
          </w:tcPr>
          <w:p w14:paraId="66FC109C">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1</w:t>
            </w:r>
          </w:p>
        </w:tc>
        <w:tc>
          <w:tcPr>
            <w:tcW w:w="4284" w:type="dxa"/>
            <w:vAlign w:val="center"/>
          </w:tcPr>
          <w:p w14:paraId="4C75D8E7">
            <w:pPr>
              <w:spacing w:line="360" w:lineRule="auto"/>
              <w:jc w:val="left"/>
              <w:rPr>
                <w:rFonts w:ascii="黑体" w:hAnsi="黑体" w:eastAsia="黑体"/>
                <w:color w:val="auto"/>
                <w:szCs w:val="21"/>
                <w:highlight w:val="none"/>
              </w:rPr>
            </w:pPr>
            <w:r>
              <w:rPr>
                <w:rFonts w:hint="eastAsia" w:ascii="黑体" w:hAnsi="黑体" w:eastAsia="黑体"/>
                <w:color w:val="auto"/>
                <w:szCs w:val="21"/>
                <w:highlight w:val="none"/>
              </w:rPr>
              <w:t>法人(负责人)授权委托证明</w:t>
            </w:r>
          </w:p>
          <w:p w14:paraId="58BF489B">
            <w:pPr>
              <w:spacing w:line="360" w:lineRule="auto"/>
              <w:jc w:val="left"/>
              <w:rPr>
                <w:rFonts w:ascii="黑体" w:hAnsi="黑体" w:eastAsia="黑体"/>
                <w:b/>
                <w:bCs/>
                <w:color w:val="auto"/>
                <w:szCs w:val="21"/>
                <w:highlight w:val="none"/>
              </w:rPr>
            </w:pPr>
            <w:r>
              <w:rPr>
                <w:rFonts w:hint="eastAsia" w:ascii="黑体" w:hAnsi="黑体" w:eastAsia="黑体"/>
                <w:color w:val="auto"/>
                <w:szCs w:val="21"/>
                <w:highlight w:val="none"/>
              </w:rPr>
              <w:t>(投标人代表为法定(负责人)代表人的除外)</w:t>
            </w:r>
          </w:p>
        </w:tc>
        <w:tc>
          <w:tcPr>
            <w:tcW w:w="1110" w:type="dxa"/>
            <w:vAlign w:val="center"/>
          </w:tcPr>
          <w:p w14:paraId="14B31BA0">
            <w:pPr>
              <w:spacing w:line="360" w:lineRule="auto"/>
              <w:jc w:val="center"/>
              <w:rPr>
                <w:rFonts w:ascii="黑体" w:hAnsi="黑体" w:eastAsia="黑体"/>
                <w:b/>
                <w:bCs/>
                <w:color w:val="auto"/>
                <w:szCs w:val="21"/>
                <w:highlight w:val="none"/>
              </w:rPr>
            </w:pPr>
          </w:p>
        </w:tc>
        <w:tc>
          <w:tcPr>
            <w:tcW w:w="1110" w:type="dxa"/>
            <w:vAlign w:val="center"/>
          </w:tcPr>
          <w:p w14:paraId="099D96A3">
            <w:pPr>
              <w:spacing w:line="360" w:lineRule="auto"/>
              <w:jc w:val="center"/>
              <w:rPr>
                <w:rFonts w:ascii="黑体" w:hAnsi="黑体" w:eastAsia="黑体"/>
                <w:b/>
                <w:bCs/>
                <w:color w:val="auto"/>
                <w:szCs w:val="21"/>
                <w:highlight w:val="none"/>
              </w:rPr>
            </w:pPr>
          </w:p>
        </w:tc>
        <w:tc>
          <w:tcPr>
            <w:tcW w:w="1109" w:type="dxa"/>
            <w:vAlign w:val="center"/>
          </w:tcPr>
          <w:p w14:paraId="30246B73">
            <w:pPr>
              <w:spacing w:line="360" w:lineRule="auto"/>
              <w:jc w:val="center"/>
              <w:rPr>
                <w:rFonts w:ascii="黑体" w:hAnsi="黑体" w:eastAsia="黑体"/>
                <w:b/>
                <w:bCs/>
                <w:color w:val="auto"/>
                <w:szCs w:val="21"/>
                <w:highlight w:val="none"/>
              </w:rPr>
            </w:pPr>
          </w:p>
        </w:tc>
      </w:tr>
      <w:tr w14:paraId="1636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5" w:type="dxa"/>
            <w:vAlign w:val="center"/>
          </w:tcPr>
          <w:p w14:paraId="059DE78C">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2</w:t>
            </w:r>
          </w:p>
        </w:tc>
        <w:tc>
          <w:tcPr>
            <w:tcW w:w="4284" w:type="dxa"/>
            <w:vAlign w:val="center"/>
          </w:tcPr>
          <w:p w14:paraId="6FBC75C8">
            <w:pPr>
              <w:spacing w:line="360" w:lineRule="auto"/>
              <w:jc w:val="left"/>
              <w:rPr>
                <w:rFonts w:ascii="黑体" w:hAnsi="黑体" w:eastAsia="黑体"/>
                <w:color w:val="auto"/>
                <w:szCs w:val="21"/>
                <w:highlight w:val="none"/>
              </w:rPr>
            </w:pPr>
            <w:r>
              <w:rPr>
                <w:rFonts w:hint="eastAsia" w:ascii="黑体" w:hAnsi="黑体" w:eastAsia="黑体"/>
                <w:color w:val="auto"/>
                <w:szCs w:val="21"/>
                <w:highlight w:val="none"/>
              </w:rPr>
              <w:t>投标函（投标的有效期）</w:t>
            </w:r>
          </w:p>
        </w:tc>
        <w:tc>
          <w:tcPr>
            <w:tcW w:w="1110" w:type="dxa"/>
            <w:vAlign w:val="center"/>
          </w:tcPr>
          <w:p w14:paraId="58465AA9">
            <w:pPr>
              <w:spacing w:line="360" w:lineRule="auto"/>
              <w:jc w:val="center"/>
              <w:rPr>
                <w:rFonts w:ascii="黑体" w:hAnsi="黑体" w:eastAsia="黑体"/>
                <w:b/>
                <w:bCs/>
                <w:color w:val="auto"/>
                <w:szCs w:val="21"/>
                <w:highlight w:val="none"/>
              </w:rPr>
            </w:pPr>
          </w:p>
        </w:tc>
        <w:tc>
          <w:tcPr>
            <w:tcW w:w="1110" w:type="dxa"/>
            <w:vAlign w:val="center"/>
          </w:tcPr>
          <w:p w14:paraId="6FE066F5">
            <w:pPr>
              <w:spacing w:line="360" w:lineRule="auto"/>
              <w:jc w:val="center"/>
              <w:rPr>
                <w:rFonts w:ascii="黑体" w:hAnsi="黑体" w:eastAsia="黑体"/>
                <w:b/>
                <w:bCs/>
                <w:color w:val="auto"/>
                <w:szCs w:val="21"/>
                <w:highlight w:val="none"/>
              </w:rPr>
            </w:pPr>
          </w:p>
        </w:tc>
        <w:tc>
          <w:tcPr>
            <w:tcW w:w="1109" w:type="dxa"/>
            <w:vAlign w:val="center"/>
          </w:tcPr>
          <w:p w14:paraId="5A6855BB">
            <w:pPr>
              <w:spacing w:line="360" w:lineRule="auto"/>
              <w:jc w:val="center"/>
              <w:rPr>
                <w:rFonts w:ascii="黑体" w:hAnsi="黑体" w:eastAsia="黑体"/>
                <w:b/>
                <w:bCs/>
                <w:color w:val="auto"/>
                <w:szCs w:val="21"/>
                <w:highlight w:val="none"/>
              </w:rPr>
            </w:pPr>
          </w:p>
        </w:tc>
      </w:tr>
      <w:tr w14:paraId="171E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915" w:type="dxa"/>
            <w:vAlign w:val="center"/>
          </w:tcPr>
          <w:p w14:paraId="2283B615">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3</w:t>
            </w:r>
          </w:p>
        </w:tc>
        <w:tc>
          <w:tcPr>
            <w:tcW w:w="4284" w:type="dxa"/>
            <w:vAlign w:val="center"/>
          </w:tcPr>
          <w:p w14:paraId="4BFFAD39">
            <w:pPr>
              <w:spacing w:line="360" w:lineRule="auto"/>
              <w:jc w:val="left"/>
              <w:rPr>
                <w:rFonts w:hint="eastAsia" w:ascii="黑体" w:hAnsi="黑体" w:eastAsia="黑体"/>
                <w:color w:val="auto"/>
                <w:szCs w:val="21"/>
                <w:highlight w:val="none"/>
                <w:lang w:eastAsia="zh-CN"/>
              </w:rPr>
            </w:pPr>
            <w:r>
              <w:rPr>
                <w:rFonts w:hint="eastAsia" w:ascii="黑体" w:hAnsi="黑体" w:eastAsia="黑体"/>
                <w:color w:val="auto"/>
                <w:szCs w:val="21"/>
                <w:highlight w:val="none"/>
              </w:rPr>
              <w:t>投标文件的式样、</w:t>
            </w:r>
            <w:r>
              <w:rPr>
                <w:rFonts w:hint="eastAsia" w:ascii="黑体" w:hAnsi="黑体" w:eastAsia="黑体"/>
                <w:color w:val="auto"/>
                <w:szCs w:val="21"/>
                <w:highlight w:val="none"/>
                <w:lang w:eastAsia="zh-CN"/>
              </w:rPr>
              <w:t>份数、</w:t>
            </w:r>
            <w:r>
              <w:rPr>
                <w:rFonts w:hint="eastAsia" w:ascii="黑体" w:hAnsi="黑体" w:eastAsia="黑体"/>
                <w:color w:val="auto"/>
                <w:szCs w:val="21"/>
                <w:highlight w:val="none"/>
              </w:rPr>
              <w:t>签署、盖章符合招标文件要求</w:t>
            </w:r>
            <w:r>
              <w:rPr>
                <w:rFonts w:hint="eastAsia" w:ascii="黑体" w:hAnsi="黑体" w:eastAsia="黑体"/>
                <w:color w:val="auto"/>
                <w:szCs w:val="21"/>
                <w:highlight w:val="none"/>
                <w:lang w:eastAsia="zh-CN"/>
              </w:rPr>
              <w:t>。</w:t>
            </w:r>
          </w:p>
        </w:tc>
        <w:tc>
          <w:tcPr>
            <w:tcW w:w="1110" w:type="dxa"/>
            <w:vAlign w:val="center"/>
          </w:tcPr>
          <w:p w14:paraId="07DA2A7B">
            <w:pPr>
              <w:spacing w:line="360" w:lineRule="auto"/>
              <w:jc w:val="center"/>
              <w:rPr>
                <w:rFonts w:ascii="黑体" w:hAnsi="黑体" w:eastAsia="黑体"/>
                <w:b/>
                <w:bCs/>
                <w:color w:val="auto"/>
                <w:szCs w:val="21"/>
                <w:highlight w:val="none"/>
              </w:rPr>
            </w:pPr>
          </w:p>
        </w:tc>
        <w:tc>
          <w:tcPr>
            <w:tcW w:w="1110" w:type="dxa"/>
            <w:vAlign w:val="center"/>
          </w:tcPr>
          <w:p w14:paraId="16A53484">
            <w:pPr>
              <w:spacing w:line="360" w:lineRule="auto"/>
              <w:jc w:val="center"/>
              <w:rPr>
                <w:rFonts w:ascii="黑体" w:hAnsi="黑体" w:eastAsia="黑体"/>
                <w:b/>
                <w:bCs/>
                <w:color w:val="auto"/>
                <w:szCs w:val="21"/>
                <w:highlight w:val="none"/>
              </w:rPr>
            </w:pPr>
          </w:p>
        </w:tc>
        <w:tc>
          <w:tcPr>
            <w:tcW w:w="1109" w:type="dxa"/>
            <w:vAlign w:val="center"/>
          </w:tcPr>
          <w:p w14:paraId="01F257FB">
            <w:pPr>
              <w:spacing w:line="360" w:lineRule="auto"/>
              <w:jc w:val="center"/>
              <w:rPr>
                <w:rFonts w:ascii="黑体" w:hAnsi="黑体" w:eastAsia="黑体"/>
                <w:b/>
                <w:bCs/>
                <w:color w:val="auto"/>
                <w:szCs w:val="21"/>
                <w:highlight w:val="none"/>
              </w:rPr>
            </w:pPr>
          </w:p>
        </w:tc>
      </w:tr>
      <w:tr w14:paraId="1B64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915" w:type="dxa"/>
            <w:vAlign w:val="center"/>
          </w:tcPr>
          <w:p w14:paraId="7D435589">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4</w:t>
            </w:r>
          </w:p>
        </w:tc>
        <w:tc>
          <w:tcPr>
            <w:tcW w:w="4284" w:type="dxa"/>
            <w:vAlign w:val="center"/>
          </w:tcPr>
          <w:p w14:paraId="5A1FF009">
            <w:pPr>
              <w:spacing w:line="360" w:lineRule="auto"/>
              <w:jc w:val="left"/>
              <w:rPr>
                <w:rFonts w:ascii="黑体" w:hAnsi="黑体" w:eastAsia="黑体"/>
                <w:bCs/>
                <w:color w:val="auto"/>
                <w:szCs w:val="21"/>
                <w:highlight w:val="none"/>
              </w:rPr>
            </w:pPr>
            <w:r>
              <w:rPr>
                <w:rFonts w:hint="eastAsia" w:ascii="黑体" w:hAnsi="黑体" w:eastAsia="黑体"/>
                <w:bCs/>
                <w:color w:val="auto"/>
                <w:szCs w:val="21"/>
                <w:highlight w:val="none"/>
              </w:rPr>
              <w:t>用户需求书当中的★条款满足要求</w:t>
            </w:r>
          </w:p>
          <w:p w14:paraId="6CF05114">
            <w:pPr>
              <w:spacing w:line="360" w:lineRule="auto"/>
              <w:jc w:val="left"/>
              <w:rPr>
                <w:rFonts w:ascii="黑体" w:hAnsi="黑体" w:eastAsia="黑体"/>
                <w:color w:val="auto"/>
                <w:szCs w:val="21"/>
                <w:highlight w:val="none"/>
              </w:rPr>
            </w:pPr>
            <w:r>
              <w:rPr>
                <w:rFonts w:hint="eastAsia" w:ascii="黑体" w:hAnsi="黑体" w:eastAsia="黑体"/>
                <w:bCs/>
                <w:color w:val="auto"/>
                <w:szCs w:val="21"/>
                <w:highlight w:val="none"/>
              </w:rPr>
              <w:t>(若本项目无★条款，此项通过)</w:t>
            </w:r>
          </w:p>
        </w:tc>
        <w:tc>
          <w:tcPr>
            <w:tcW w:w="1110" w:type="dxa"/>
            <w:vAlign w:val="center"/>
          </w:tcPr>
          <w:p w14:paraId="770D6A0B">
            <w:pPr>
              <w:spacing w:line="360" w:lineRule="auto"/>
              <w:jc w:val="center"/>
              <w:rPr>
                <w:rFonts w:ascii="黑体" w:hAnsi="黑体" w:eastAsia="黑体"/>
                <w:b/>
                <w:bCs/>
                <w:color w:val="auto"/>
                <w:szCs w:val="21"/>
                <w:highlight w:val="none"/>
              </w:rPr>
            </w:pPr>
          </w:p>
        </w:tc>
        <w:tc>
          <w:tcPr>
            <w:tcW w:w="1110" w:type="dxa"/>
            <w:vAlign w:val="center"/>
          </w:tcPr>
          <w:p w14:paraId="6C7C4954">
            <w:pPr>
              <w:spacing w:line="360" w:lineRule="auto"/>
              <w:jc w:val="center"/>
              <w:rPr>
                <w:rFonts w:ascii="黑体" w:hAnsi="黑体" w:eastAsia="黑体"/>
                <w:b/>
                <w:bCs/>
                <w:color w:val="auto"/>
                <w:szCs w:val="21"/>
                <w:highlight w:val="none"/>
              </w:rPr>
            </w:pPr>
          </w:p>
        </w:tc>
        <w:tc>
          <w:tcPr>
            <w:tcW w:w="1109" w:type="dxa"/>
            <w:vAlign w:val="center"/>
          </w:tcPr>
          <w:p w14:paraId="316494A9">
            <w:pPr>
              <w:spacing w:line="360" w:lineRule="auto"/>
              <w:jc w:val="center"/>
              <w:rPr>
                <w:rFonts w:ascii="黑体" w:hAnsi="黑体" w:eastAsia="黑体"/>
                <w:b/>
                <w:bCs/>
                <w:color w:val="auto"/>
                <w:szCs w:val="21"/>
                <w:highlight w:val="none"/>
              </w:rPr>
            </w:pPr>
          </w:p>
        </w:tc>
      </w:tr>
      <w:tr w14:paraId="65C1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915" w:type="dxa"/>
            <w:vAlign w:val="center"/>
          </w:tcPr>
          <w:p w14:paraId="19F0D10F">
            <w:pPr>
              <w:spacing w:line="360" w:lineRule="auto"/>
              <w:jc w:val="center"/>
              <w:rPr>
                <w:rFonts w:ascii="黑体" w:hAnsi="黑体" w:eastAsia="黑体"/>
                <w:bCs/>
                <w:color w:val="auto"/>
                <w:szCs w:val="21"/>
                <w:highlight w:val="none"/>
              </w:rPr>
            </w:pPr>
          </w:p>
        </w:tc>
        <w:tc>
          <w:tcPr>
            <w:tcW w:w="4284" w:type="dxa"/>
            <w:vAlign w:val="center"/>
          </w:tcPr>
          <w:p w14:paraId="6128E7EA">
            <w:pPr>
              <w:spacing w:line="360" w:lineRule="auto"/>
              <w:jc w:val="left"/>
              <w:rPr>
                <w:rFonts w:ascii="黑体" w:hAnsi="黑体" w:eastAsia="黑体"/>
                <w:bCs/>
                <w:color w:val="auto"/>
                <w:szCs w:val="21"/>
                <w:highlight w:val="none"/>
              </w:rPr>
            </w:pPr>
          </w:p>
        </w:tc>
        <w:tc>
          <w:tcPr>
            <w:tcW w:w="1110" w:type="dxa"/>
            <w:vAlign w:val="center"/>
          </w:tcPr>
          <w:p w14:paraId="4FFFF9F5">
            <w:pPr>
              <w:spacing w:line="360" w:lineRule="auto"/>
              <w:jc w:val="center"/>
              <w:rPr>
                <w:rFonts w:ascii="黑体" w:hAnsi="黑体" w:eastAsia="黑体"/>
                <w:b/>
                <w:bCs/>
                <w:color w:val="auto"/>
                <w:szCs w:val="21"/>
                <w:highlight w:val="none"/>
              </w:rPr>
            </w:pPr>
          </w:p>
        </w:tc>
        <w:tc>
          <w:tcPr>
            <w:tcW w:w="1110" w:type="dxa"/>
            <w:vAlign w:val="center"/>
          </w:tcPr>
          <w:p w14:paraId="015D70DD">
            <w:pPr>
              <w:spacing w:line="360" w:lineRule="auto"/>
              <w:jc w:val="center"/>
              <w:rPr>
                <w:rFonts w:ascii="黑体" w:hAnsi="黑体" w:eastAsia="黑体"/>
                <w:b/>
                <w:bCs/>
                <w:color w:val="auto"/>
                <w:szCs w:val="21"/>
                <w:highlight w:val="none"/>
              </w:rPr>
            </w:pPr>
          </w:p>
        </w:tc>
        <w:tc>
          <w:tcPr>
            <w:tcW w:w="1109" w:type="dxa"/>
            <w:vAlign w:val="center"/>
          </w:tcPr>
          <w:p w14:paraId="5A473C0D">
            <w:pPr>
              <w:spacing w:line="360" w:lineRule="auto"/>
              <w:jc w:val="center"/>
              <w:rPr>
                <w:rFonts w:ascii="黑体" w:hAnsi="黑体" w:eastAsia="黑体"/>
                <w:b/>
                <w:bCs/>
                <w:color w:val="auto"/>
                <w:szCs w:val="21"/>
                <w:highlight w:val="none"/>
              </w:rPr>
            </w:pPr>
          </w:p>
        </w:tc>
      </w:tr>
      <w:tr w14:paraId="000B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199" w:type="dxa"/>
            <w:gridSpan w:val="2"/>
            <w:vAlign w:val="center"/>
          </w:tcPr>
          <w:p w14:paraId="3191FC41">
            <w:pPr>
              <w:spacing w:line="360" w:lineRule="auto"/>
              <w:jc w:val="center"/>
              <w:rPr>
                <w:rFonts w:ascii="黑体" w:hAnsi="黑体" w:eastAsia="黑体"/>
                <w:color w:val="auto"/>
                <w:szCs w:val="21"/>
                <w:highlight w:val="none"/>
              </w:rPr>
            </w:pPr>
            <w:r>
              <w:rPr>
                <w:rFonts w:hint="eastAsia" w:ascii="黑体" w:hAnsi="黑体" w:eastAsia="黑体"/>
                <w:color w:val="auto"/>
                <w:szCs w:val="21"/>
                <w:highlight w:val="none"/>
              </w:rPr>
              <w:t>结论</w:t>
            </w:r>
          </w:p>
        </w:tc>
        <w:tc>
          <w:tcPr>
            <w:tcW w:w="1110" w:type="dxa"/>
            <w:vAlign w:val="center"/>
          </w:tcPr>
          <w:p w14:paraId="2C07D03C">
            <w:pPr>
              <w:spacing w:line="360" w:lineRule="auto"/>
              <w:jc w:val="center"/>
              <w:rPr>
                <w:rFonts w:ascii="黑体" w:hAnsi="黑体" w:eastAsia="黑体"/>
                <w:b/>
                <w:bCs/>
                <w:color w:val="auto"/>
                <w:szCs w:val="21"/>
                <w:highlight w:val="none"/>
              </w:rPr>
            </w:pPr>
          </w:p>
        </w:tc>
        <w:tc>
          <w:tcPr>
            <w:tcW w:w="1110" w:type="dxa"/>
            <w:vAlign w:val="center"/>
          </w:tcPr>
          <w:p w14:paraId="035E76C9">
            <w:pPr>
              <w:spacing w:line="360" w:lineRule="auto"/>
              <w:jc w:val="center"/>
              <w:rPr>
                <w:rFonts w:ascii="黑体" w:hAnsi="黑体" w:eastAsia="黑体"/>
                <w:b/>
                <w:bCs/>
                <w:color w:val="auto"/>
                <w:szCs w:val="21"/>
                <w:highlight w:val="none"/>
              </w:rPr>
            </w:pPr>
          </w:p>
        </w:tc>
        <w:tc>
          <w:tcPr>
            <w:tcW w:w="1109" w:type="dxa"/>
            <w:vAlign w:val="center"/>
          </w:tcPr>
          <w:p w14:paraId="32619C50">
            <w:pPr>
              <w:spacing w:line="360" w:lineRule="auto"/>
              <w:jc w:val="center"/>
              <w:rPr>
                <w:rFonts w:ascii="黑体" w:hAnsi="黑体" w:eastAsia="黑体"/>
                <w:b/>
                <w:bCs/>
                <w:color w:val="auto"/>
                <w:szCs w:val="21"/>
                <w:highlight w:val="none"/>
              </w:rPr>
            </w:pPr>
          </w:p>
        </w:tc>
      </w:tr>
      <w:tr w14:paraId="5702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8528" w:type="dxa"/>
            <w:gridSpan w:val="5"/>
            <w:vAlign w:val="center"/>
          </w:tcPr>
          <w:p w14:paraId="389FA463">
            <w:pPr>
              <w:spacing w:line="360" w:lineRule="auto"/>
              <w:jc w:val="left"/>
              <w:rPr>
                <w:rFonts w:ascii="黑体" w:hAnsi="黑体" w:eastAsia="黑体"/>
                <w:bCs/>
                <w:color w:val="auto"/>
                <w:szCs w:val="21"/>
                <w:highlight w:val="none"/>
              </w:rPr>
            </w:pPr>
            <w:r>
              <w:rPr>
                <w:rFonts w:hint="eastAsia" w:ascii="黑体" w:hAnsi="黑体" w:eastAsia="黑体"/>
                <w:bCs/>
                <w:color w:val="auto"/>
                <w:szCs w:val="21"/>
                <w:highlight w:val="none"/>
              </w:rPr>
              <w:t>不通过原因说明：</w:t>
            </w:r>
          </w:p>
        </w:tc>
      </w:tr>
      <w:tr w14:paraId="5AFF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28" w:type="dxa"/>
            <w:gridSpan w:val="5"/>
            <w:vAlign w:val="center"/>
          </w:tcPr>
          <w:p w14:paraId="6C559ADA">
            <w:pPr>
              <w:spacing w:line="360" w:lineRule="auto"/>
              <w:jc w:val="left"/>
              <w:rPr>
                <w:rFonts w:ascii="黑体" w:hAnsi="黑体" w:eastAsia="黑体"/>
                <w:bCs/>
                <w:color w:val="auto"/>
                <w:szCs w:val="21"/>
                <w:highlight w:val="none"/>
              </w:rPr>
            </w:pPr>
            <w:r>
              <w:rPr>
                <w:rFonts w:hint="eastAsia" w:ascii="黑体" w:hAnsi="黑体" w:eastAsia="黑体"/>
                <w:bCs/>
                <w:color w:val="auto"/>
                <w:szCs w:val="21"/>
                <w:highlight w:val="none"/>
              </w:rPr>
              <w:t>评委签署：</w:t>
            </w:r>
          </w:p>
        </w:tc>
      </w:tr>
    </w:tbl>
    <w:p w14:paraId="3DBC78C7">
      <w:pPr>
        <w:pStyle w:val="32"/>
        <w:numPr>
          <w:ilvl w:val="0"/>
          <w:numId w:val="52"/>
        </w:numPr>
        <w:spacing w:beforeLines="50" w:line="360" w:lineRule="auto"/>
        <w:ind w:firstLineChars="0"/>
        <w:rPr>
          <w:rFonts w:ascii="黑体" w:hAnsi="黑体" w:eastAsia="黑体"/>
          <w:b/>
          <w:bCs/>
          <w:color w:val="auto"/>
          <w:szCs w:val="21"/>
          <w:highlight w:val="none"/>
        </w:rPr>
      </w:pPr>
      <w:r>
        <w:rPr>
          <w:rFonts w:hint="eastAsia" w:ascii="黑体" w:hAnsi="黑体" w:eastAsia="黑体"/>
          <w:b/>
          <w:bCs/>
          <w:color w:val="auto"/>
          <w:szCs w:val="21"/>
          <w:highlight w:val="none"/>
        </w:rPr>
        <w:t>注明：</w:t>
      </w:r>
    </w:p>
    <w:p w14:paraId="1EB7ECCB">
      <w:pPr>
        <w:pStyle w:val="32"/>
        <w:numPr>
          <w:ilvl w:val="0"/>
          <w:numId w:val="5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评审时评委对投标人是否满足要求逐条标注评审意见，“是”标记为“○”，“否”标记为“×”；</w:t>
      </w:r>
    </w:p>
    <w:p w14:paraId="56CB1F86">
      <w:pPr>
        <w:pStyle w:val="32"/>
        <w:numPr>
          <w:ilvl w:val="0"/>
          <w:numId w:val="5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评审结论栏统一填写为“通过”或“不通过” ，出现一个“×”为“不通过”；</w:t>
      </w:r>
    </w:p>
    <w:p w14:paraId="2D6547EC">
      <w:pPr>
        <w:pStyle w:val="32"/>
        <w:numPr>
          <w:ilvl w:val="0"/>
          <w:numId w:val="54"/>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对结论为“不通过”的投标，要说明原因。</w:t>
      </w:r>
    </w:p>
    <w:p w14:paraId="1799CD62">
      <w:pPr>
        <w:pStyle w:val="32"/>
        <w:pageBreakBefore/>
        <w:numPr>
          <w:ilvl w:val="0"/>
          <w:numId w:val="51"/>
        </w:numPr>
        <w:spacing w:beforeLines="50" w:afterLines="50" w:line="360" w:lineRule="auto"/>
        <w:ind w:left="422" w:hanging="422" w:hangingChars="200"/>
        <w:rPr>
          <w:rFonts w:ascii="黑体" w:hAnsi="黑体" w:eastAsia="黑体"/>
          <w:b/>
          <w:bCs/>
          <w:color w:val="auto"/>
          <w:szCs w:val="21"/>
          <w:highlight w:val="none"/>
        </w:rPr>
      </w:pPr>
      <w:r>
        <w:rPr>
          <w:rFonts w:hint="eastAsia" w:ascii="黑体" w:hAnsi="黑体" w:eastAsia="黑体"/>
          <w:b/>
          <w:bCs/>
          <w:color w:val="auto"/>
          <w:szCs w:val="21"/>
          <w:highlight w:val="none"/>
        </w:rPr>
        <w:t>附表三  商务技术评审表</w:t>
      </w:r>
    </w:p>
    <w:p w14:paraId="5FB06E85">
      <w:pPr>
        <w:rPr>
          <w:rFonts w:hint="eastAsia" w:ascii="黑体" w:hAnsi="黑体" w:eastAsia="黑体"/>
          <w:b/>
          <w:bCs/>
          <w:color w:val="auto"/>
          <w:szCs w:val="21"/>
          <w:highlight w:val="none"/>
        </w:rPr>
      </w:pPr>
    </w:p>
    <w:p w14:paraId="020F2306">
      <w:pPr>
        <w:rPr>
          <w:rFonts w:ascii="黑体" w:hAnsi="黑体" w:eastAsia="黑体"/>
          <w:b/>
          <w:bCs/>
          <w:color w:val="auto"/>
          <w:sz w:val="21"/>
          <w:szCs w:val="21"/>
          <w:highlight w:val="none"/>
        </w:rPr>
      </w:pPr>
    </w:p>
    <w:tbl>
      <w:tblPr>
        <w:tblStyle w:val="20"/>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5"/>
        <w:gridCol w:w="1363"/>
        <w:gridCol w:w="570"/>
        <w:gridCol w:w="5937"/>
      </w:tblGrid>
      <w:tr w14:paraId="10164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4B65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FC9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评分标准</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AC7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分值</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C07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评分内容</w:t>
            </w:r>
          </w:p>
        </w:tc>
      </w:tr>
      <w:tr w14:paraId="04A87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3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7038">
            <w:pPr>
              <w:keepNext w:val="0"/>
              <w:keepLines w:val="0"/>
              <w:widowControl/>
              <w:suppressLineNumbers w:val="0"/>
              <w:jc w:val="center"/>
              <w:textAlignment w:val="center"/>
              <w:rPr>
                <w:rFonts w:ascii="黑体" w:hAnsi="宋体" w:eastAsia="黑体" w:cs="黑体"/>
                <w:b/>
                <w:bCs/>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bidi="ar"/>
              </w:rPr>
              <w:t>一、经营状况指标（40分）</w:t>
            </w:r>
          </w:p>
        </w:tc>
      </w:tr>
      <w:tr w14:paraId="49EBB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43D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84D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资本充足率</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7B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586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根据投标人总行的资本充足率数值由高到低排序，第一得满分，从第二开始依次递减0.2分，减至0分为止。</w:t>
            </w:r>
          </w:p>
        </w:tc>
      </w:tr>
      <w:tr w14:paraId="74398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2"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62D4E">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297FE">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226E">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665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【评审依据：投标人提供佐证资料，以上一年度末会计师事务所出具的总行年度报告（中国会计准则）为准】</w:t>
            </w:r>
          </w:p>
        </w:tc>
      </w:tr>
      <w:tr w14:paraId="3F5BC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1"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E90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BA1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不良贷款率</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B9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18D3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根据投标人总行的不良贷款率数值由低至高排序，第一得满分，从第二开始依次递减0.2分，减至0分为止。</w:t>
            </w:r>
          </w:p>
        </w:tc>
      </w:tr>
      <w:tr w14:paraId="02814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3"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95645">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99655">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3A48">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125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【评审依据：投标人提供佐证资料，以上一年度末会计师事务所出具的总行年度报告（中国会计准则）为准】</w:t>
            </w:r>
          </w:p>
        </w:tc>
      </w:tr>
      <w:tr w14:paraId="532A1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8"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0B7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7F4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在莞存贷比</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4A1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AFA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根据投标人在莞机构存贷比数值由低到高排序，第一得满分，从第二开始依次递减0.2分，减至0分为止。</w:t>
            </w:r>
          </w:p>
        </w:tc>
      </w:tr>
      <w:tr w14:paraId="79E11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2"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BEED9">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41E7B">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B8001">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1F1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【评审依据：以《东莞市银行业监测月报》（东莞市银行业协会编）的数据为准，统计截止时间为当年二季度末，未提供不得分。】</w:t>
            </w:r>
          </w:p>
        </w:tc>
      </w:tr>
      <w:tr w14:paraId="29226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2D3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2D6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贷款增额</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8C0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49A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根据投标人的本外币贷款增额数值（同比）由高到低排序，第一得满分，从第二开始依次递减0.3分，减至0分为止。</w:t>
            </w:r>
          </w:p>
        </w:tc>
      </w:tr>
      <w:tr w14:paraId="43E2A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6824C">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36CDA">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E0100">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ADC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【评审依据：以《东莞市银行业监测月报》（东莞市银行业协会编）的数据为准，统计截止时间为当年二季度末，未提供不得分。】</w:t>
            </w:r>
          </w:p>
        </w:tc>
      </w:tr>
      <w:tr w14:paraId="510D8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C24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DDE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贷款增速</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B2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00B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根据投标人的本外币贷款增速数值（同比）由高到低排序，第一得满分，从第二开始依次递减0.3分，减至0分为止。</w:t>
            </w:r>
          </w:p>
        </w:tc>
      </w:tr>
      <w:tr w14:paraId="6615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497D9">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8E323">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4466">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A37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【评审依据：以《东莞市银行业监测月报》（东莞市银行业协会编）的数据为准，统计截止时间为当年二季度末，未提供不得分。对于基数为零的银行，增速取参与银行平均值】</w:t>
            </w:r>
          </w:p>
        </w:tc>
      </w:tr>
      <w:tr w14:paraId="7A2C2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6F2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E2F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存款增额</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037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B52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根据投标人的本外币存款增额数值（同比）由高到低排序，第一得满分，从第二开始依次递减0.15分，减至0分为止。</w:t>
            </w:r>
          </w:p>
        </w:tc>
      </w:tr>
      <w:tr w14:paraId="00B73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B07BD">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92503">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12360">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174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【评审依据：以《东莞市银行业监测月报》（东莞市银行业协会编）的数据为准，统计截止时间为当年二季度末，未提供不得分。】</w:t>
            </w:r>
          </w:p>
        </w:tc>
      </w:tr>
      <w:tr w14:paraId="6ED99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198F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2E4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存款增速</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75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781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根据投标人的本外币存款增速数值（同比）由高到低排序，第一得满分，从第二开始依次递减0.15分，减至0分为止。</w:t>
            </w:r>
          </w:p>
        </w:tc>
      </w:tr>
      <w:tr w14:paraId="3A168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57830">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EED57">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EC9C5">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136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【评审依据：以《东莞市银行业监测月报》（东莞市银行业协会编）的数据为准，统计截止时间为当年二季度末，未提供不得分，对于基数为零的银行，增速取参与银行平均值】</w:t>
            </w:r>
          </w:p>
        </w:tc>
      </w:tr>
      <w:tr w14:paraId="1D763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7"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0001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6FE7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人民银行东莞地区银行业机构综合评级</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6A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94B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以投标人在人民银行东莞地区银行业机构评估的综合评估结果为基准，评级在A+级的得3分，评级在A级的得2分，评级在B+级的得1分，评级低于B+的不得分。</w:t>
            </w:r>
          </w:p>
        </w:tc>
      </w:tr>
      <w:tr w14:paraId="6D019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2C138">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55C20">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7245">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555A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【评审依据：以中国人民银行东莞市分行提供的书面文件为准，未提供不得分】</w:t>
            </w:r>
          </w:p>
        </w:tc>
      </w:tr>
      <w:tr w14:paraId="6B64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B60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2D1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广东金融监管局银行业科技支行建设评级</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2F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A7F6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以投标人在广东金融监管局2025年度的综合评级结果作为评分依据，梯度评级在A级的得3分，梯度评级在B级的得2分，梯度评级在C级的得1分，C级及以下不得分。</w:t>
            </w:r>
          </w:p>
        </w:tc>
      </w:tr>
      <w:tr w14:paraId="02EC6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91514">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BE500">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D164">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42E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【评审依据：以广东金融监管局、东莞金融监管分局印发或翻印的年度科技支行建设评估结果等书面文件为准，未提供不得分。】</w:t>
            </w:r>
          </w:p>
        </w:tc>
      </w:tr>
      <w:tr w14:paraId="54FB4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8" w:hRule="atLeast"/>
        </w:trPr>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76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3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5E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内部控制水平</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45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0A7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根据投标人提供的内部控制水平（包括投标人管理体系和操作规程是否严谨规范、制度是否健全有效、监管机制是否完善、突发事件解决方案是否可行）进行综合评审：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优：投标人管理体系和操作规程严谨规范，制度健全有效，有完善的监管机制，对突发事件提出了切实可行的解决方案，得4分；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良：投标人管理体系和操作规程较为严谨，制度较健全有效，提出了较为完善有效的监管机制，对突发事件提出的解决方案可行性较强，得3分；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中：投标人管理体系和操作规程严谨性一般，制度不够健全，监管机制不够完善，对突发事件提出的解决方案可行性一般，得2分；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差：未提供方案不得分。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【评审依据：投标人提供书面材料，并加盖公章</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w:t>
            </w:r>
          </w:p>
        </w:tc>
      </w:tr>
      <w:tr w14:paraId="2290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84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CCDE54">
            <w:pPr>
              <w:keepNext w:val="0"/>
              <w:keepLines w:val="0"/>
              <w:widowControl/>
              <w:suppressLineNumbers w:val="0"/>
              <w:jc w:val="center"/>
              <w:textAlignment w:val="center"/>
              <w:rPr>
                <w:rFonts w:hint="eastAsia" w:ascii="黑体" w:hAnsi="宋体" w:eastAsia="黑体" w:cs="黑体"/>
                <w:b/>
                <w:bCs/>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bidi="ar"/>
              </w:rPr>
              <w:t>二、利率水平指标（20分）</w:t>
            </w:r>
          </w:p>
        </w:tc>
      </w:tr>
      <w:tr w14:paraId="4A42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0" w:hRule="atLeast"/>
        </w:trPr>
        <w:tc>
          <w:tcPr>
            <w:tcW w:w="565" w:type="dxa"/>
            <w:vMerge w:val="restart"/>
            <w:tcBorders>
              <w:top w:val="single" w:color="000000" w:sz="4" w:space="0"/>
              <w:left w:val="single" w:color="000000" w:sz="4" w:space="0"/>
              <w:bottom w:val="nil"/>
              <w:right w:val="single" w:color="000000" w:sz="4" w:space="0"/>
            </w:tcBorders>
            <w:shd w:val="clear" w:color="auto" w:fill="auto"/>
            <w:noWrap/>
            <w:vAlign w:val="center"/>
          </w:tcPr>
          <w:p w14:paraId="222694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363" w:type="dxa"/>
            <w:vMerge w:val="restart"/>
            <w:tcBorders>
              <w:top w:val="single" w:color="000000" w:sz="4" w:space="0"/>
              <w:left w:val="single" w:color="000000" w:sz="4" w:space="0"/>
              <w:bottom w:val="nil"/>
              <w:right w:val="single" w:color="000000" w:sz="4" w:space="0"/>
            </w:tcBorders>
            <w:shd w:val="clear" w:color="auto" w:fill="auto"/>
            <w:vAlign w:val="center"/>
          </w:tcPr>
          <w:p w14:paraId="3FD50D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定期存款</w:t>
            </w:r>
            <w:r>
              <w:rPr>
                <w:rFonts w:hint="eastAsia" w:ascii="宋体" w:hAnsi="宋体" w:eastAsia="宋体" w:cs="宋体"/>
                <w:i w:val="0"/>
                <w:iCs w:val="0"/>
                <w:color w:val="auto"/>
                <w:kern w:val="0"/>
                <w:sz w:val="21"/>
                <w:szCs w:val="21"/>
                <w:highlight w:val="none"/>
                <w:u w:val="none"/>
                <w:lang w:val="en-US" w:eastAsia="zh-CN" w:bidi="ar"/>
              </w:rPr>
              <w:t>（大额存单）利率水平</w:t>
            </w:r>
          </w:p>
        </w:tc>
        <w:tc>
          <w:tcPr>
            <w:tcW w:w="570" w:type="dxa"/>
            <w:vMerge w:val="restart"/>
            <w:tcBorders>
              <w:top w:val="single" w:color="000000" w:sz="4" w:space="0"/>
              <w:left w:val="single" w:color="000000" w:sz="4" w:space="0"/>
              <w:bottom w:val="nil"/>
              <w:right w:val="single" w:color="000000" w:sz="4" w:space="0"/>
            </w:tcBorders>
            <w:shd w:val="clear" w:color="auto" w:fill="auto"/>
            <w:noWrap/>
            <w:vAlign w:val="center"/>
          </w:tcPr>
          <w:p w14:paraId="415853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20分</w:t>
            </w:r>
          </w:p>
        </w:tc>
        <w:tc>
          <w:tcPr>
            <w:tcW w:w="5937" w:type="dxa"/>
            <w:tcBorders>
              <w:top w:val="single" w:color="000000" w:sz="4" w:space="0"/>
              <w:left w:val="single" w:color="000000" w:sz="4" w:space="0"/>
              <w:bottom w:val="nil"/>
              <w:right w:val="single" w:color="000000" w:sz="4" w:space="0"/>
            </w:tcBorders>
            <w:shd w:val="clear" w:color="auto" w:fill="auto"/>
            <w:vAlign w:val="top"/>
          </w:tcPr>
          <w:p w14:paraId="5F55F393">
            <w:pPr>
              <w:keepNext w:val="0"/>
              <w:keepLines w:val="0"/>
              <w:widowControl/>
              <w:suppressLineNumbers w:val="0"/>
              <w:jc w:val="left"/>
              <w:textAlignment w:val="top"/>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根据投标人提供的定期存款、大额存单利率报价，同一期限下，取定期存款、大额存单两者报价较高值作为该档次有效评分利率，与中国人民银行公布的同档次存款基准利率进行对比，按以下规则计分：</w:t>
            </w:r>
          </w:p>
          <w:p w14:paraId="68181D13">
            <w:pPr>
              <w:keepNext w:val="0"/>
              <w:keepLines w:val="0"/>
              <w:widowControl/>
              <w:suppressLineNumbers w:val="0"/>
              <w:jc w:val="left"/>
              <w:textAlignment w:val="top"/>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1年期档次：以各投标人有效评分利率为基础，报价最高的得 12 分；对比最高报价，每低5个BP（基点）扣减0.5分，不足5个BP不予扣分。</w:t>
            </w:r>
          </w:p>
          <w:p w14:paraId="0359E826">
            <w:pPr>
              <w:keepNext w:val="0"/>
              <w:keepLines w:val="0"/>
              <w:widowControl/>
              <w:suppressLineNumbers w:val="0"/>
              <w:jc w:val="left"/>
              <w:textAlignment w:val="top"/>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6个月期档次：以各投标人有效评分利率为基础，报价最高的得8分；对比最高报价，每低5个BP（基点）扣减0.5分，不足5个BP 不予扣分。</w:t>
            </w:r>
          </w:p>
          <w:p w14:paraId="41AE0BA9">
            <w:pPr>
              <w:keepNext w:val="0"/>
              <w:keepLines w:val="0"/>
              <w:widowControl/>
              <w:suppressLineNumbers w:val="0"/>
              <w:jc w:val="left"/>
              <w:textAlignment w:val="top"/>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注：投标人定期存款与大额存单报价均填报的，同期限取较高值；仅填报其中一项的，以填报的该项利率作为有效评分利率。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投标人申报的存款利率须符合国家利率政策规定及市场利率定价自律机制自律管理要求。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如遇存款基准利率调整，合同期内，投标人在投标时所承诺的存款基准利率随之调整，与人民银行公布的基准利率保持一致。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如遇东莞人民币存款利率上限调整，合同期内，投标人在投标时所承诺的存款利率上浮幅度随之调整，与东莞人民币存款利率上限保持一致。</w:t>
            </w:r>
          </w:p>
        </w:tc>
      </w:tr>
      <w:tr w14:paraId="4D148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565" w:type="dxa"/>
            <w:vMerge w:val="continue"/>
            <w:tcBorders>
              <w:top w:val="single" w:color="000000" w:sz="4" w:space="0"/>
              <w:left w:val="single" w:color="000000" w:sz="4" w:space="0"/>
              <w:bottom w:val="nil"/>
              <w:right w:val="single" w:color="000000" w:sz="4" w:space="0"/>
            </w:tcBorders>
            <w:shd w:val="clear" w:color="auto" w:fill="auto"/>
            <w:noWrap/>
            <w:vAlign w:val="center"/>
          </w:tcPr>
          <w:p w14:paraId="74A316DC">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nil"/>
              <w:right w:val="single" w:color="000000" w:sz="4" w:space="0"/>
            </w:tcBorders>
            <w:shd w:val="clear" w:color="auto" w:fill="auto"/>
            <w:vAlign w:val="center"/>
          </w:tcPr>
          <w:p w14:paraId="6F70C419">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nil"/>
              <w:right w:val="single" w:color="000000" w:sz="4" w:space="0"/>
            </w:tcBorders>
            <w:shd w:val="clear" w:color="auto" w:fill="auto"/>
            <w:noWrap/>
            <w:vAlign w:val="center"/>
          </w:tcPr>
          <w:p w14:paraId="42696BFD">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6B4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【评审依据：投标人须分别对以下存款产品提供年化利率报价：普通</w:t>
            </w:r>
            <w:r>
              <w:rPr>
                <w:rFonts w:hint="eastAsia" w:ascii="宋体" w:hAnsi="宋体" w:cs="宋体"/>
                <w:i w:val="0"/>
                <w:iCs w:val="0"/>
                <w:color w:val="auto"/>
                <w:kern w:val="0"/>
                <w:sz w:val="21"/>
                <w:szCs w:val="21"/>
                <w:highlight w:val="none"/>
                <w:u w:val="none"/>
                <w:lang w:val="en-US" w:eastAsia="zh-CN" w:bidi="ar"/>
              </w:rPr>
              <w:t>定期</w:t>
            </w:r>
            <w:r>
              <w:rPr>
                <w:rFonts w:hint="eastAsia" w:ascii="宋体" w:hAnsi="宋体" w:eastAsia="宋体" w:cs="宋体"/>
                <w:i w:val="0"/>
                <w:iCs w:val="0"/>
                <w:color w:val="auto"/>
                <w:kern w:val="0"/>
                <w:sz w:val="21"/>
                <w:szCs w:val="21"/>
                <w:highlight w:val="none"/>
                <w:u w:val="none"/>
                <w:lang w:val="en-US" w:eastAsia="zh-CN" w:bidi="ar"/>
              </w:rPr>
              <w:t>存款（1年期、6个月、3个月）、大额存单（1年期、6个月、3个月）。所有产品报价须分项列示，不得合并填报，并提供书面文件加盖公章。】</w:t>
            </w:r>
          </w:p>
        </w:tc>
      </w:tr>
      <w:tr w14:paraId="31B89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84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43D95F">
            <w:pPr>
              <w:keepNext w:val="0"/>
              <w:keepLines w:val="0"/>
              <w:widowControl/>
              <w:suppressLineNumbers w:val="0"/>
              <w:jc w:val="center"/>
              <w:textAlignment w:val="center"/>
              <w:rPr>
                <w:rFonts w:hint="eastAsia" w:ascii="黑体" w:hAnsi="宋体" w:eastAsia="黑体" w:cs="黑体"/>
                <w:b/>
                <w:bCs/>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bidi="ar"/>
              </w:rPr>
              <w:t>三、对地方贡献指标（30分）</w:t>
            </w:r>
          </w:p>
        </w:tc>
      </w:tr>
      <w:tr w14:paraId="11111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9C2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818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松山湖高新区企业贷款额</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08F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276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Style w:val="58"/>
                <w:color w:val="auto"/>
                <w:sz w:val="21"/>
                <w:szCs w:val="21"/>
                <w:highlight w:val="none"/>
                <w:lang w:val="en-US" w:eastAsia="zh-CN" w:bidi="ar"/>
              </w:rPr>
              <w:t>根据</w:t>
            </w:r>
            <w:r>
              <w:rPr>
                <w:rStyle w:val="59"/>
                <w:color w:val="auto"/>
                <w:sz w:val="21"/>
                <w:szCs w:val="21"/>
                <w:highlight w:val="none"/>
                <w:lang w:val="en-US" w:eastAsia="zh-CN" w:bidi="ar"/>
              </w:rPr>
              <w:t>投标人</w:t>
            </w:r>
            <w:r>
              <w:rPr>
                <w:rStyle w:val="58"/>
                <w:color w:val="auto"/>
                <w:sz w:val="21"/>
                <w:szCs w:val="21"/>
                <w:highlight w:val="none"/>
                <w:lang w:val="en-US" w:eastAsia="zh-CN" w:bidi="ar"/>
              </w:rPr>
              <w:t>向在松山湖高新区注册的企业发放贷款总额的数值由高到低排序，第一得5分，从第二开始依次递减0.25分，减至0分为止。</w:t>
            </w:r>
          </w:p>
        </w:tc>
      </w:tr>
      <w:tr w14:paraId="5E2AE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678A1">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08C17">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242A5">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DEF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【评审依据：以投标人提供的书面文件为准，贷款发放时间为2025年7月1日至2026年6月30日期间，所提供的资料需分年列示并加盖</w:t>
            </w:r>
            <w:r>
              <w:rPr>
                <w:rFonts w:hint="eastAsia"/>
                <w:color w:val="auto"/>
                <w:highlight w:val="none"/>
              </w:rPr>
              <w:t>公章</w:t>
            </w:r>
            <w:r>
              <w:rPr>
                <w:rFonts w:hint="eastAsia" w:ascii="宋体" w:hAnsi="宋体" w:eastAsia="宋体" w:cs="宋体"/>
                <w:i w:val="0"/>
                <w:iCs w:val="0"/>
                <w:color w:val="auto"/>
                <w:kern w:val="0"/>
                <w:sz w:val="21"/>
                <w:szCs w:val="21"/>
                <w:highlight w:val="none"/>
                <w:u w:val="none"/>
                <w:lang w:val="en-US" w:eastAsia="zh-CN" w:bidi="ar"/>
              </w:rPr>
              <w:t>。】</w:t>
            </w:r>
          </w:p>
        </w:tc>
      </w:tr>
      <w:tr w14:paraId="79145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9"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1B1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038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对园区中小企业支持</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9E3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D42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1、根据投标人在园区中小微企业融资风险补偿资金池入池（审核通过）的贷款总额由高到低排序，第一得3分，从第二开始依次递减0.15分，减至0分为止。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2、根据投标人在园区中小微企业融资风险补偿资金池入池（审核通过）的贷款户数由高到低排序，第一得2分，从第二开始依次递减0.1分，减至0分为止。</w:t>
            </w:r>
          </w:p>
        </w:tc>
      </w:tr>
      <w:tr w14:paraId="4D1F6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9C1E0">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68D0A">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9EA28">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BE6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【评审依据：以银行提供的东莞松山湖融资风险补偿资金池系统截图和导出的入池项目库明细数据为准，计算截点为当年度二季度末，贷款发放时间为2025年7月1日至2026年6月30日期间。】</w:t>
            </w:r>
          </w:p>
        </w:tc>
      </w:tr>
      <w:tr w14:paraId="6CC70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8C7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0B3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对园区纾困企业支持</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534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E6F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Style w:val="58"/>
                <w:color w:val="auto"/>
                <w:sz w:val="21"/>
                <w:szCs w:val="21"/>
                <w:highlight w:val="none"/>
                <w:lang w:val="en-US" w:eastAsia="zh-CN" w:bidi="ar"/>
              </w:rPr>
              <w:t>根据投标人对园区纾困企业的贷款支持情况进行评分：为纾困企业新增贷款</w:t>
            </w:r>
            <w:r>
              <w:rPr>
                <w:rStyle w:val="59"/>
                <w:color w:val="auto"/>
                <w:sz w:val="21"/>
                <w:szCs w:val="21"/>
                <w:highlight w:val="none"/>
                <w:lang w:val="en-US" w:eastAsia="zh-CN" w:bidi="ar"/>
              </w:rPr>
              <w:t>或计划年内新增贷款</w:t>
            </w:r>
            <w:r>
              <w:rPr>
                <w:rStyle w:val="58"/>
                <w:color w:val="auto"/>
                <w:sz w:val="21"/>
                <w:szCs w:val="21"/>
                <w:highlight w:val="none"/>
                <w:lang w:val="en-US" w:eastAsia="zh-CN" w:bidi="ar"/>
              </w:rPr>
              <w:t>的，每新增</w:t>
            </w:r>
            <w:r>
              <w:rPr>
                <w:rStyle w:val="59"/>
                <w:color w:val="auto"/>
                <w:sz w:val="21"/>
                <w:szCs w:val="21"/>
                <w:highlight w:val="none"/>
                <w:lang w:val="en-US" w:eastAsia="zh-CN" w:bidi="ar"/>
              </w:rPr>
              <w:t>或计划新增</w:t>
            </w:r>
            <w:r>
              <w:rPr>
                <w:rStyle w:val="58"/>
                <w:color w:val="auto"/>
                <w:sz w:val="21"/>
                <w:szCs w:val="21"/>
                <w:highlight w:val="none"/>
                <w:lang w:val="en-US" w:eastAsia="zh-CN" w:bidi="ar"/>
              </w:rPr>
              <w:t>1家计</w:t>
            </w:r>
            <w:r>
              <w:rPr>
                <w:rStyle w:val="59"/>
                <w:color w:val="auto"/>
                <w:sz w:val="21"/>
                <w:szCs w:val="21"/>
                <w:highlight w:val="none"/>
                <w:lang w:val="en-US" w:eastAsia="zh-CN" w:bidi="ar"/>
              </w:rPr>
              <w:t>3</w:t>
            </w:r>
            <w:r>
              <w:rPr>
                <w:rStyle w:val="58"/>
                <w:color w:val="auto"/>
                <w:sz w:val="21"/>
                <w:szCs w:val="21"/>
                <w:highlight w:val="none"/>
                <w:lang w:val="en-US" w:eastAsia="zh-CN" w:bidi="ar"/>
              </w:rPr>
              <w:t>分；为纾困企业续贷（不减额）</w:t>
            </w:r>
            <w:r>
              <w:rPr>
                <w:rStyle w:val="59"/>
                <w:color w:val="auto"/>
                <w:sz w:val="21"/>
                <w:szCs w:val="21"/>
                <w:highlight w:val="none"/>
                <w:lang w:val="en-US" w:eastAsia="zh-CN" w:bidi="ar"/>
              </w:rPr>
              <w:t>或计划年内续贷</w:t>
            </w:r>
            <w:r>
              <w:rPr>
                <w:rStyle w:val="58"/>
                <w:color w:val="auto"/>
                <w:sz w:val="21"/>
                <w:szCs w:val="21"/>
                <w:highlight w:val="none"/>
                <w:lang w:val="en-US" w:eastAsia="zh-CN" w:bidi="ar"/>
              </w:rPr>
              <w:t>的，每续贷</w:t>
            </w:r>
            <w:r>
              <w:rPr>
                <w:rStyle w:val="59"/>
                <w:color w:val="auto"/>
                <w:sz w:val="21"/>
                <w:szCs w:val="21"/>
                <w:highlight w:val="none"/>
                <w:lang w:val="en-US" w:eastAsia="zh-CN" w:bidi="ar"/>
              </w:rPr>
              <w:t>或计划续贷</w:t>
            </w:r>
            <w:r>
              <w:rPr>
                <w:rStyle w:val="58"/>
                <w:color w:val="auto"/>
                <w:sz w:val="21"/>
                <w:szCs w:val="21"/>
                <w:highlight w:val="none"/>
                <w:lang w:val="en-US" w:eastAsia="zh-CN" w:bidi="ar"/>
              </w:rPr>
              <w:t>1家计1分，满分5分。</w:t>
            </w:r>
          </w:p>
        </w:tc>
      </w:tr>
      <w:tr w14:paraId="11937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A37ED">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0C76D">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CC5C2">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716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Style w:val="58"/>
                <w:color w:val="auto"/>
                <w:sz w:val="21"/>
                <w:szCs w:val="21"/>
                <w:highlight w:val="none"/>
                <w:lang w:val="en-US" w:eastAsia="zh-CN" w:bidi="ar"/>
              </w:rPr>
              <w:t>【评审依据：</w:t>
            </w:r>
            <w:r>
              <w:rPr>
                <w:rStyle w:val="59"/>
                <w:color w:val="auto"/>
                <w:sz w:val="21"/>
                <w:szCs w:val="21"/>
                <w:highlight w:val="none"/>
                <w:lang w:val="en-US" w:eastAsia="zh-CN" w:bidi="ar"/>
              </w:rPr>
              <w:t>纾困企业</w:t>
            </w:r>
            <w:r>
              <w:rPr>
                <w:rStyle w:val="58"/>
                <w:color w:val="auto"/>
                <w:sz w:val="21"/>
                <w:szCs w:val="21"/>
                <w:highlight w:val="none"/>
                <w:lang w:val="en-US" w:eastAsia="zh-CN" w:bidi="ar"/>
              </w:rPr>
              <w:t>名单以东莞市松山湖财政国资金融局（金融办）提供的书面文件为准，计算截点为开标前一个月的月末，新增/续贷</w:t>
            </w:r>
            <w:r>
              <w:rPr>
                <w:rStyle w:val="59"/>
                <w:color w:val="auto"/>
                <w:sz w:val="21"/>
                <w:szCs w:val="21"/>
                <w:highlight w:val="none"/>
                <w:lang w:val="en-US" w:eastAsia="zh-CN" w:bidi="ar"/>
              </w:rPr>
              <w:t>（含计划新增/续贷）</w:t>
            </w:r>
            <w:r>
              <w:rPr>
                <w:rStyle w:val="58"/>
                <w:color w:val="auto"/>
                <w:sz w:val="21"/>
                <w:szCs w:val="21"/>
                <w:highlight w:val="none"/>
                <w:lang w:val="en-US" w:eastAsia="zh-CN" w:bidi="ar"/>
              </w:rPr>
              <w:t>时间为</w:t>
            </w:r>
            <w:r>
              <w:rPr>
                <w:rStyle w:val="59"/>
                <w:color w:val="auto"/>
                <w:sz w:val="21"/>
                <w:szCs w:val="21"/>
                <w:highlight w:val="none"/>
                <w:lang w:val="en-US" w:eastAsia="zh-CN" w:bidi="ar"/>
              </w:rPr>
              <w:t>2025年6月1日起</w:t>
            </w:r>
            <w:r>
              <w:rPr>
                <w:rStyle w:val="58"/>
                <w:color w:val="auto"/>
                <w:sz w:val="21"/>
                <w:szCs w:val="21"/>
                <w:highlight w:val="none"/>
                <w:lang w:val="en-US" w:eastAsia="zh-CN" w:bidi="ar"/>
              </w:rPr>
              <w:t>至开标前一个月的月末，</w:t>
            </w:r>
            <w:r>
              <w:rPr>
                <w:rStyle w:val="59"/>
                <w:color w:val="auto"/>
                <w:sz w:val="21"/>
                <w:szCs w:val="21"/>
                <w:highlight w:val="none"/>
                <w:lang w:val="en-US" w:eastAsia="zh-CN" w:bidi="ar"/>
              </w:rPr>
              <w:t>新增/续贷</w:t>
            </w:r>
            <w:r>
              <w:rPr>
                <w:rStyle w:val="58"/>
                <w:color w:val="auto"/>
                <w:sz w:val="21"/>
                <w:szCs w:val="21"/>
                <w:highlight w:val="none"/>
                <w:lang w:val="en-US" w:eastAsia="zh-CN" w:bidi="ar"/>
              </w:rPr>
              <w:t>以参与的银行机构提供的</w:t>
            </w:r>
            <w:r>
              <w:rPr>
                <w:rStyle w:val="59"/>
                <w:color w:val="auto"/>
                <w:sz w:val="21"/>
                <w:szCs w:val="21"/>
                <w:highlight w:val="none"/>
                <w:lang w:val="en-US" w:eastAsia="zh-CN" w:bidi="ar"/>
              </w:rPr>
              <w:t>贷款合同、放款凭证</w:t>
            </w:r>
            <w:r>
              <w:rPr>
                <w:rStyle w:val="58"/>
                <w:color w:val="auto"/>
                <w:sz w:val="21"/>
                <w:szCs w:val="21"/>
                <w:highlight w:val="none"/>
                <w:lang w:val="en-US" w:eastAsia="zh-CN" w:bidi="ar"/>
              </w:rPr>
              <w:t>等书面文件为准，</w:t>
            </w:r>
            <w:r>
              <w:rPr>
                <w:rStyle w:val="59"/>
                <w:color w:val="auto"/>
                <w:sz w:val="21"/>
                <w:szCs w:val="21"/>
                <w:highlight w:val="none"/>
                <w:lang w:val="en-US" w:eastAsia="zh-CN" w:bidi="ar"/>
              </w:rPr>
              <w:t>计划新增/续贷以参与的银行机构上级行提供的</w:t>
            </w:r>
            <w:r>
              <w:rPr>
                <w:rStyle w:val="60"/>
                <w:color w:val="auto"/>
                <w:sz w:val="21"/>
                <w:szCs w:val="21"/>
                <w:highlight w:val="none"/>
                <w:lang w:val="en-US" w:eastAsia="zh-CN" w:bidi="ar"/>
              </w:rPr>
              <w:t>承诺函或放款计划</w:t>
            </w:r>
            <w:r>
              <w:rPr>
                <w:rStyle w:val="59"/>
                <w:color w:val="auto"/>
                <w:sz w:val="21"/>
                <w:szCs w:val="21"/>
                <w:highlight w:val="none"/>
                <w:lang w:val="en-US" w:eastAsia="zh-CN" w:bidi="ar"/>
              </w:rPr>
              <w:t>等书面文件为准，</w:t>
            </w:r>
            <w:r>
              <w:rPr>
                <w:rStyle w:val="58"/>
                <w:color w:val="auto"/>
                <w:sz w:val="21"/>
                <w:szCs w:val="21"/>
                <w:highlight w:val="none"/>
                <w:lang w:val="en-US" w:eastAsia="zh-CN" w:bidi="ar"/>
              </w:rPr>
              <w:t>提供的资料需加盖</w:t>
            </w:r>
            <w:r>
              <w:rPr>
                <w:rFonts w:hint="eastAsia"/>
                <w:color w:val="auto"/>
                <w:highlight w:val="none"/>
              </w:rPr>
              <w:t>公章</w:t>
            </w:r>
            <w:r>
              <w:rPr>
                <w:rStyle w:val="58"/>
                <w:color w:val="auto"/>
                <w:sz w:val="21"/>
                <w:szCs w:val="21"/>
                <w:highlight w:val="none"/>
                <w:lang w:val="en-US" w:eastAsia="zh-CN" w:bidi="ar"/>
              </w:rPr>
              <w:t>。】</w:t>
            </w:r>
          </w:p>
        </w:tc>
      </w:tr>
      <w:tr w14:paraId="73670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890B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FC0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创新金融产品</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90D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658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1.政府主导的创新产品，根据投标人投放的“天使贷”“园区保”的贷款户数由高到低排序，第一得3分，从第二开始依次递减0.15分，减至0分为止。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评审依据：“天使贷”“园区保”贷款户数计算截点为开标前一个月的月末，贷款发放时间为2025年9月1日至开标前一个月的月末，以参与的银行机构提供的已签署完毕的委托担保函及对应的放款借据为准，所提供的资料需加盖</w:t>
            </w:r>
            <w:r>
              <w:rPr>
                <w:rFonts w:hint="eastAsia"/>
                <w:color w:val="auto"/>
                <w:highlight w:val="none"/>
              </w:rPr>
              <w:t>公章</w:t>
            </w:r>
            <w:r>
              <w:rPr>
                <w:rFonts w:hint="eastAsia" w:ascii="宋体" w:hAnsi="宋体" w:eastAsia="宋体" w:cs="宋体"/>
                <w:i w:val="0"/>
                <w:iCs w:val="0"/>
                <w:color w:val="auto"/>
                <w:kern w:val="0"/>
                <w:sz w:val="21"/>
                <w:szCs w:val="21"/>
                <w:highlight w:val="none"/>
                <w:u w:val="none"/>
                <w:lang w:val="en-US" w:eastAsia="zh-CN" w:bidi="ar"/>
              </w:rPr>
              <w:t>。】</w:t>
            </w:r>
          </w:p>
        </w:tc>
      </w:tr>
      <w:tr w14:paraId="189A7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BEF69">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50442">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02E49">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96F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Style w:val="58"/>
                <w:color w:val="auto"/>
                <w:sz w:val="21"/>
                <w:szCs w:val="21"/>
                <w:highlight w:val="none"/>
                <w:lang w:val="en-US" w:eastAsia="zh-CN" w:bidi="ar"/>
              </w:rPr>
              <w:t>2.银行机构自主创新产品，根据投标人为松山湖定制的专属创新产品情况进行评分：是否有为松山湖量身定制专属的创新产品且有产生实质性的贷款投放，如有得2分；有为松山湖量身定制专属创新产品但暂无实质性的贷款投放，得1分。</w:t>
            </w:r>
            <w:r>
              <w:rPr>
                <w:rStyle w:val="58"/>
                <w:color w:val="auto"/>
                <w:sz w:val="21"/>
                <w:szCs w:val="21"/>
                <w:highlight w:val="none"/>
                <w:lang w:val="en-US" w:eastAsia="zh-CN" w:bidi="ar"/>
              </w:rPr>
              <w:br w:type="textWrapping"/>
            </w:r>
            <w:r>
              <w:rPr>
                <w:rStyle w:val="58"/>
                <w:color w:val="auto"/>
                <w:sz w:val="21"/>
                <w:szCs w:val="21"/>
                <w:highlight w:val="none"/>
                <w:lang w:val="en-US" w:eastAsia="zh-CN" w:bidi="ar"/>
              </w:rPr>
              <w:t>【评审依据：银行机构自主创新产品计算截点为开标前一个月的月末，产品发布及贷款投放时间为2025年1月1日至开标前一个月的月末，以参与的银行机构提供的</w:t>
            </w:r>
            <w:r>
              <w:rPr>
                <w:rStyle w:val="59"/>
                <w:color w:val="auto"/>
                <w:sz w:val="21"/>
                <w:szCs w:val="21"/>
                <w:highlight w:val="none"/>
                <w:lang w:val="en-US" w:eastAsia="zh-CN" w:bidi="ar"/>
              </w:rPr>
              <w:t>产品合作协议、贷款合同、放款凭证</w:t>
            </w:r>
            <w:r>
              <w:rPr>
                <w:rStyle w:val="58"/>
                <w:color w:val="auto"/>
                <w:sz w:val="21"/>
                <w:szCs w:val="21"/>
                <w:highlight w:val="none"/>
                <w:lang w:val="en-US" w:eastAsia="zh-CN" w:bidi="ar"/>
              </w:rPr>
              <w:t>等书面为准，所提供的资料需加盖</w:t>
            </w:r>
            <w:r>
              <w:rPr>
                <w:rFonts w:hint="eastAsia"/>
                <w:color w:val="auto"/>
                <w:highlight w:val="none"/>
              </w:rPr>
              <w:t>公章</w:t>
            </w:r>
            <w:r>
              <w:rPr>
                <w:rStyle w:val="58"/>
                <w:color w:val="auto"/>
                <w:sz w:val="21"/>
                <w:szCs w:val="21"/>
                <w:highlight w:val="none"/>
                <w:lang w:val="en-US" w:eastAsia="zh-CN" w:bidi="ar"/>
              </w:rPr>
              <w:t>。】</w:t>
            </w:r>
          </w:p>
        </w:tc>
      </w:tr>
      <w:tr w14:paraId="0AB1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60A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EED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与区属国企合作规模</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883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14D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以投标人为松山湖高新区园属国企提供的各类投融资规模（银行贷款或者通过其他融资手段提供的融资），由高到底排序，第一名得5分，从第二名开始一次递减0.25分，减至0分为止。</w:t>
            </w:r>
          </w:p>
        </w:tc>
      </w:tr>
      <w:tr w14:paraId="5FAE6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6B83B">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155BD">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EBEF">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EBE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园属企业名单以东莞市松山湖财政国资金融局（国资中心）提供的书面文件为准，投标人提供贷款合同/放款凭证/借据等作为佐证材料，贷款发放时间为2025年7月1日至2026年6月30日期间，未提供不得分。】</w:t>
            </w:r>
          </w:p>
        </w:tc>
      </w:tr>
      <w:tr w14:paraId="77171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8"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9EE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363" w:type="dxa"/>
            <w:vMerge w:val="restart"/>
            <w:tcBorders>
              <w:top w:val="nil"/>
              <w:left w:val="single" w:color="000000" w:sz="4" w:space="0"/>
              <w:bottom w:val="single" w:color="000000" w:sz="4" w:space="0"/>
              <w:right w:val="single" w:color="000000" w:sz="4" w:space="0"/>
            </w:tcBorders>
            <w:shd w:val="clear" w:color="auto" w:fill="auto"/>
            <w:vAlign w:val="center"/>
          </w:tcPr>
          <w:p w14:paraId="317705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园区营业网点的数量</w:t>
            </w:r>
          </w:p>
        </w:tc>
        <w:tc>
          <w:tcPr>
            <w:tcW w:w="570" w:type="dxa"/>
            <w:vMerge w:val="restart"/>
            <w:tcBorders>
              <w:top w:val="nil"/>
              <w:left w:val="single" w:color="000000" w:sz="4" w:space="0"/>
              <w:bottom w:val="single" w:color="000000" w:sz="4" w:space="0"/>
              <w:right w:val="single" w:color="000000" w:sz="4" w:space="0"/>
            </w:tcBorders>
            <w:shd w:val="clear" w:color="auto" w:fill="auto"/>
            <w:noWrap/>
            <w:vAlign w:val="center"/>
          </w:tcPr>
          <w:p w14:paraId="769FD3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0E5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投标人在松山湖区域内每拥有1个营业机构网点，计0.5分，本项最高得分为2分。</w:t>
            </w:r>
          </w:p>
        </w:tc>
      </w:tr>
      <w:tr w14:paraId="59BA0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74496">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nil"/>
              <w:left w:val="single" w:color="000000" w:sz="4" w:space="0"/>
              <w:bottom w:val="single" w:color="000000" w:sz="4" w:space="0"/>
              <w:right w:val="single" w:color="000000" w:sz="4" w:space="0"/>
            </w:tcBorders>
            <w:shd w:val="clear" w:color="auto" w:fill="auto"/>
            <w:vAlign w:val="center"/>
          </w:tcPr>
          <w:p w14:paraId="7D9D8615">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58866C91">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919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【评审依据：计算时点截至为提交资料当天，以投标人报送网点详细地址及提供网点门面照片为准。】</w:t>
            </w:r>
          </w:p>
        </w:tc>
      </w:tr>
      <w:tr w14:paraId="6BCF5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76A4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363" w:type="dxa"/>
            <w:vMerge w:val="restart"/>
            <w:tcBorders>
              <w:top w:val="nil"/>
              <w:left w:val="single" w:color="000000" w:sz="4" w:space="0"/>
              <w:bottom w:val="single" w:color="000000" w:sz="4" w:space="0"/>
              <w:right w:val="single" w:color="000000" w:sz="4" w:space="0"/>
            </w:tcBorders>
            <w:shd w:val="clear" w:color="auto" w:fill="auto"/>
            <w:vAlign w:val="center"/>
          </w:tcPr>
          <w:p w14:paraId="134A25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对园区税收贡献情况</w:t>
            </w:r>
          </w:p>
        </w:tc>
        <w:tc>
          <w:tcPr>
            <w:tcW w:w="570" w:type="dxa"/>
            <w:vMerge w:val="restart"/>
            <w:tcBorders>
              <w:top w:val="nil"/>
              <w:left w:val="single" w:color="000000" w:sz="4" w:space="0"/>
              <w:bottom w:val="single" w:color="000000" w:sz="4" w:space="0"/>
              <w:right w:val="single" w:color="000000" w:sz="4" w:space="0"/>
            </w:tcBorders>
            <w:shd w:val="clear" w:color="auto" w:fill="auto"/>
            <w:noWrap/>
            <w:vAlign w:val="center"/>
          </w:tcPr>
          <w:p w14:paraId="54A5B7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C8E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根据银行上年在松山湖高新区的纳税总量进行评分，如纳税收入大于100万元（含），得3分；纳税收入介于100万元到10万元，得2分；纳税收入少于10万元，得1分；如无纳税，则0分。</w:t>
            </w:r>
          </w:p>
        </w:tc>
      </w:tr>
      <w:tr w14:paraId="27E24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E6A2C">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nil"/>
              <w:left w:val="single" w:color="000000" w:sz="4" w:space="0"/>
              <w:bottom w:val="single" w:color="000000" w:sz="4" w:space="0"/>
              <w:right w:val="single" w:color="000000" w:sz="4" w:space="0"/>
            </w:tcBorders>
            <w:shd w:val="clear" w:color="auto" w:fill="auto"/>
            <w:vAlign w:val="center"/>
          </w:tcPr>
          <w:p w14:paraId="041459F3">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nil"/>
              <w:left w:val="single" w:color="000000" w:sz="4" w:space="0"/>
              <w:bottom w:val="single" w:color="000000" w:sz="4" w:space="0"/>
              <w:right w:val="single" w:color="000000" w:sz="4" w:space="0"/>
            </w:tcBorders>
            <w:shd w:val="clear" w:color="auto" w:fill="auto"/>
            <w:noWrap/>
            <w:vAlign w:val="center"/>
          </w:tcPr>
          <w:p w14:paraId="497BD866">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645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【评审依据：投标人提供佐证资料（完税证明）】</w:t>
            </w:r>
          </w:p>
        </w:tc>
      </w:tr>
      <w:tr w14:paraId="56E41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84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4F9BC0">
            <w:pPr>
              <w:keepNext w:val="0"/>
              <w:keepLines w:val="0"/>
              <w:widowControl/>
              <w:suppressLineNumbers w:val="0"/>
              <w:jc w:val="center"/>
              <w:textAlignment w:val="center"/>
              <w:rPr>
                <w:rFonts w:hint="eastAsia" w:ascii="黑体" w:hAnsi="宋体" w:eastAsia="黑体" w:cs="黑体"/>
                <w:b/>
                <w:bCs/>
                <w:i w:val="0"/>
                <w:iCs w:val="0"/>
                <w:color w:val="auto"/>
                <w:sz w:val="21"/>
                <w:szCs w:val="21"/>
                <w:highlight w:val="none"/>
                <w:u w:val="none"/>
              </w:rPr>
            </w:pPr>
            <w:r>
              <w:rPr>
                <w:rFonts w:hint="eastAsia" w:ascii="黑体" w:hAnsi="宋体" w:eastAsia="黑体" w:cs="黑体"/>
                <w:b/>
                <w:bCs/>
                <w:i w:val="0"/>
                <w:iCs w:val="0"/>
                <w:color w:val="auto"/>
                <w:kern w:val="0"/>
                <w:sz w:val="21"/>
                <w:szCs w:val="21"/>
                <w:highlight w:val="none"/>
                <w:u w:val="none"/>
                <w:lang w:val="en-US" w:eastAsia="zh-CN" w:bidi="ar"/>
              </w:rPr>
              <w:t>四、服务水平指标（10分）</w:t>
            </w:r>
          </w:p>
        </w:tc>
      </w:tr>
      <w:tr w14:paraId="53123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0"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F79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489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财政增值服务项目</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3FF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F5E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1.投标人提供专项债券增值服务项目：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投标人参与专项债券的前期筛选、项目评估、发行方案设计、发债资金管理</w:t>
            </w:r>
            <w:r>
              <w:rPr>
                <w:rFonts w:hint="eastAsia" w:ascii="宋体" w:hAnsi="宋体" w:cs="宋体"/>
                <w:i w:val="0"/>
                <w:iCs w:val="0"/>
                <w:color w:val="auto"/>
                <w:kern w:val="0"/>
                <w:sz w:val="21"/>
                <w:szCs w:val="21"/>
                <w:highlight w:val="none"/>
                <w:u w:val="none"/>
                <w:lang w:val="en-US" w:eastAsia="zh-CN" w:bidi="ar"/>
              </w:rPr>
              <w:t>中的任一项服务</w:t>
            </w:r>
            <w:r>
              <w:rPr>
                <w:rFonts w:hint="eastAsia" w:ascii="宋体" w:hAnsi="宋体" w:eastAsia="宋体" w:cs="宋体"/>
                <w:i w:val="0"/>
                <w:iCs w:val="0"/>
                <w:color w:val="auto"/>
                <w:kern w:val="0"/>
                <w:sz w:val="21"/>
                <w:szCs w:val="21"/>
                <w:highlight w:val="none"/>
                <w:u w:val="none"/>
                <w:lang w:val="en-US" w:eastAsia="zh-CN" w:bidi="ar"/>
              </w:rPr>
              <w:t>，得1分。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投标人成功发行专项债以及做好发债资金专款专用和信息披露，得2分。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【评审依据：计算时点为2025年7月1日至2026年6月30日，投标人提供相关佐证材料，并加盖公章。】</w:t>
            </w:r>
          </w:p>
        </w:tc>
      </w:tr>
      <w:tr w14:paraId="3E6BE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8"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8B92C">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6BA7A">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8EFDF">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736E">
            <w:pPr>
              <w:keepNext w:val="0"/>
              <w:keepLines w:val="0"/>
              <w:widowControl/>
              <w:suppressLineNumbers w:val="0"/>
              <w:jc w:val="left"/>
              <w:textAlignment w:val="center"/>
              <w:rPr>
                <w:rFonts w:hint="eastAsia"/>
                <w:color w:val="auto"/>
                <w:highlight w:val="none"/>
              </w:rPr>
            </w:pPr>
            <w:r>
              <w:rPr>
                <w:rFonts w:hint="eastAsia"/>
                <w:color w:val="auto"/>
                <w:highlight w:val="none"/>
              </w:rPr>
              <w:t>2.投标人对松山湖高新区2025年重大建设项目、松山湖2025年重大预备项目提供各类金融服务（银行贷款或者通过其他融资手段提供的融资），项目大于3个（含）以上，得2分；小于3个以下，得1分；无项目零分。</w:t>
            </w:r>
          </w:p>
          <w:p w14:paraId="79D2D17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color w:val="auto"/>
                <w:highlight w:val="none"/>
              </w:rPr>
              <w:t>【评审依据：2025年重大建设项目、松山湖2025年重大预备项目清单请查询松山湖管委会网页“http://ssl.dg.gov.cn/zfxxgkml/ywgz/zdxmjs/content/post_4443046.html”。计算时点为2025年1月1日至2026年6月30日，投标人提供相关佐证材料，并加盖公章。】</w:t>
            </w:r>
          </w:p>
        </w:tc>
      </w:tr>
      <w:tr w14:paraId="49EA8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D550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432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服务质量</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BF9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4EC3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根据投标人提供服务内容方案进行综合评审：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优：信息反馈质量高，速度快、人员专业能力强，数量充足、沟通能力强，业务便捷，应急、协调处理服务处理质量高。服务方案完整合理，可行性强，得5分；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良：信息反馈质量较高，速度较快、人员专业能力较强，数量较充足、沟通能力较强，业务较便捷，应急、协调处理服务处理质量较高。服务方案完整较合理，可行性较强，得3分；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中：信息反馈质量一般，速度一般、人员专业能力一般，数量一般、沟通能力一般，业务便捷一般，应急、协调处理服务处理质量一般。服务方案完整一般，可行性一般，得1分；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差：未提供对应方案不得分。</w:t>
            </w:r>
          </w:p>
        </w:tc>
      </w:tr>
      <w:tr w14:paraId="34333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5BC1F">
            <w:pPr>
              <w:jc w:val="center"/>
              <w:rPr>
                <w:rFonts w:hint="eastAsia" w:ascii="宋体" w:hAnsi="宋体" w:eastAsia="宋体" w:cs="宋体"/>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5150A">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2DCF3">
            <w:pPr>
              <w:jc w:val="center"/>
              <w:rPr>
                <w:rFonts w:hint="eastAsia" w:ascii="宋体" w:hAnsi="宋体" w:eastAsia="宋体" w:cs="宋体"/>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CED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【评审依据：投标人提供相关服务的承诺函，并加盖公章。】</w:t>
            </w:r>
          </w:p>
        </w:tc>
      </w:tr>
      <w:tr w14:paraId="008AB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84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F9299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附加分</w:t>
            </w:r>
          </w:p>
        </w:tc>
      </w:tr>
      <w:tr w14:paraId="35C1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atLeast"/>
        </w:trPr>
        <w:tc>
          <w:tcPr>
            <w:tcW w:w="5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4F23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1</w:t>
            </w:r>
          </w:p>
        </w:tc>
        <w:tc>
          <w:tcPr>
            <w:tcW w:w="13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7A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附加分</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6949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b/>
                <w:bCs/>
                <w:i w:val="0"/>
                <w:iCs w:val="0"/>
                <w:color w:val="auto"/>
                <w:kern w:val="0"/>
                <w:sz w:val="21"/>
                <w:szCs w:val="21"/>
                <w:highlight w:val="none"/>
                <w:u w:val="none"/>
                <w:lang w:val="en-US" w:eastAsia="zh-CN" w:bidi="ar"/>
              </w:rPr>
              <w:t>10分</w:t>
            </w: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C25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新设分行并首次以该银行机构名义参与本次投标的+10分；新设支行并首次以该银行机构名义参与本次投标的+5分。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同一投标人若同时新设分行和支行，按最高分值计分，不重复累加。</w:t>
            </w:r>
          </w:p>
        </w:tc>
      </w:tr>
      <w:tr w14:paraId="495F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5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35970">
            <w:pPr>
              <w:jc w:val="center"/>
              <w:rPr>
                <w:rFonts w:hint="eastAsia" w:ascii="宋体" w:hAnsi="宋体" w:eastAsia="宋体" w:cs="宋体"/>
                <w:b/>
                <w:bCs/>
                <w:i w:val="0"/>
                <w:iCs w:val="0"/>
                <w:color w:val="auto"/>
                <w:sz w:val="21"/>
                <w:szCs w:val="21"/>
                <w:highlight w:val="none"/>
                <w:u w:val="none"/>
              </w:rPr>
            </w:pPr>
          </w:p>
        </w:tc>
        <w:tc>
          <w:tcPr>
            <w:tcW w:w="13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F3E0">
            <w:pPr>
              <w:jc w:val="center"/>
              <w:rPr>
                <w:rFonts w:hint="eastAsia" w:ascii="宋体" w:hAnsi="宋体" w:eastAsia="宋体" w:cs="宋体"/>
                <w:i w:val="0"/>
                <w:iCs w:val="0"/>
                <w:color w:val="auto"/>
                <w:sz w:val="21"/>
                <w:szCs w:val="21"/>
                <w:highlight w:val="none"/>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7440F">
            <w:pPr>
              <w:jc w:val="center"/>
              <w:rPr>
                <w:rFonts w:hint="eastAsia" w:ascii="宋体" w:hAnsi="宋体" w:eastAsia="宋体" w:cs="宋体"/>
                <w:b/>
                <w:bCs/>
                <w:i w:val="0"/>
                <w:iCs w:val="0"/>
                <w:color w:val="auto"/>
                <w:sz w:val="21"/>
                <w:szCs w:val="21"/>
                <w:highlight w:val="none"/>
                <w:u w:val="none"/>
              </w:rPr>
            </w:pPr>
          </w:p>
        </w:tc>
        <w:tc>
          <w:tcPr>
            <w:tcW w:w="5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7C1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计算时点为2025年1月1日至2026年6月30日，以参与的银行机构报送金融许可证或营业执照复印件（加盖公章）；且新设分行和支行的详细地址及提供的门面照片为准</w:t>
            </w:r>
          </w:p>
        </w:tc>
      </w:tr>
    </w:tbl>
    <w:p w14:paraId="01906FAE">
      <w:pPr>
        <w:pStyle w:val="2"/>
        <w:pageBreakBefore/>
        <w:spacing w:line="360" w:lineRule="auto"/>
        <w:jc w:val="center"/>
        <w:rPr>
          <w:rFonts w:ascii="黑体" w:hAnsi="黑体" w:eastAsia="黑体"/>
          <w:color w:val="auto"/>
          <w:spacing w:val="20"/>
          <w:sz w:val="32"/>
          <w:szCs w:val="32"/>
          <w:highlight w:val="none"/>
        </w:rPr>
      </w:pPr>
      <w:bookmarkStart w:id="28" w:name="_Toc405313956"/>
      <w:bookmarkStart w:id="29" w:name="_Toc391627752"/>
      <w:bookmarkStart w:id="30" w:name="_Toc23715270"/>
      <w:r>
        <w:rPr>
          <w:rFonts w:hint="eastAsia" w:ascii="黑体" w:hAnsi="黑体" w:eastAsia="黑体"/>
          <w:color w:val="auto"/>
          <w:spacing w:val="20"/>
          <w:sz w:val="32"/>
          <w:szCs w:val="32"/>
          <w:highlight w:val="none"/>
        </w:rPr>
        <w:t>第六部分 合同书格式</w:t>
      </w:r>
      <w:bookmarkEnd w:id="28"/>
      <w:bookmarkEnd w:id="29"/>
      <w:bookmarkEnd w:id="30"/>
    </w:p>
    <w:p w14:paraId="57DB65CB">
      <w:pPr>
        <w:spacing w:line="360" w:lineRule="auto"/>
        <w:jc w:val="center"/>
        <w:rPr>
          <w:rFonts w:ascii="黑体" w:hAnsi="黑体" w:eastAsia="黑体"/>
          <w:color w:val="auto"/>
          <w:highlight w:val="none"/>
        </w:rPr>
      </w:pPr>
      <w:r>
        <w:rPr>
          <w:rFonts w:hint="eastAsia" w:ascii="黑体" w:hAnsi="黑体" w:eastAsia="黑体"/>
          <w:color w:val="auto"/>
          <w:highlight w:val="none"/>
        </w:rPr>
        <w:t>（本格式编排在招标文件中，供投标人参考，投标时无须填写）</w:t>
      </w:r>
    </w:p>
    <w:p w14:paraId="2DD37ACF">
      <w:pPr>
        <w:spacing w:line="360" w:lineRule="auto"/>
        <w:jc w:val="center"/>
        <w:rPr>
          <w:rFonts w:ascii="黑体" w:hAnsi="黑体" w:eastAsia="黑体"/>
          <w:color w:val="auto"/>
          <w:highlight w:val="none"/>
        </w:rPr>
      </w:pPr>
      <w:r>
        <w:rPr>
          <w:rFonts w:hint="eastAsia" w:ascii="黑体" w:hAnsi="黑体" w:eastAsia="黑体"/>
          <w:color w:val="auto"/>
          <w:highlight w:val="none"/>
        </w:rPr>
        <w:t>（注：本合同条款仅供参考，甲乙双方可根据实际情况进行商议补充）</w:t>
      </w:r>
    </w:p>
    <w:p w14:paraId="05D588BE">
      <w:pPr>
        <w:spacing w:line="360" w:lineRule="auto"/>
        <w:jc w:val="center"/>
        <w:rPr>
          <w:rFonts w:ascii="黑体" w:hAnsi="黑体" w:eastAsia="黑体"/>
          <w:bCs/>
          <w:color w:val="auto"/>
          <w:szCs w:val="21"/>
          <w:highlight w:val="none"/>
        </w:rPr>
      </w:pPr>
    </w:p>
    <w:p w14:paraId="5604D7E7">
      <w:pPr>
        <w:spacing w:beforeLines="500" w:afterLines="150" w:line="360" w:lineRule="auto"/>
        <w:jc w:val="center"/>
        <w:rPr>
          <w:rFonts w:hint="eastAsia" w:ascii="黑体" w:hAnsi="黑体" w:eastAsia="黑体"/>
          <w:b/>
          <w:bCs/>
          <w:color w:val="auto"/>
          <w:spacing w:val="60"/>
          <w:sz w:val="52"/>
          <w:szCs w:val="52"/>
          <w:highlight w:val="none"/>
        </w:rPr>
      </w:pPr>
      <w:r>
        <w:rPr>
          <w:rFonts w:hint="eastAsia" w:ascii="黑体" w:hAnsi="黑体" w:eastAsia="黑体"/>
          <w:b/>
          <w:bCs/>
          <w:color w:val="auto"/>
          <w:spacing w:val="60"/>
          <w:sz w:val="52"/>
          <w:szCs w:val="52"/>
          <w:highlight w:val="none"/>
          <w:lang w:val="en-US" w:eastAsia="zh-CN"/>
        </w:rPr>
        <w:t>财政资金保值增值项目</w:t>
      </w:r>
    </w:p>
    <w:p w14:paraId="6CDAEB61">
      <w:pPr>
        <w:spacing w:beforeLines="500" w:afterLines="150" w:line="360" w:lineRule="auto"/>
        <w:jc w:val="center"/>
        <w:rPr>
          <w:rFonts w:ascii="黑体" w:hAnsi="黑体" w:eastAsia="黑体"/>
          <w:b/>
          <w:bCs/>
          <w:color w:val="auto"/>
          <w:spacing w:val="60"/>
          <w:sz w:val="52"/>
          <w:szCs w:val="52"/>
          <w:highlight w:val="none"/>
        </w:rPr>
      </w:pPr>
      <w:r>
        <w:rPr>
          <w:rFonts w:hint="eastAsia" w:ascii="黑体" w:hAnsi="黑体" w:eastAsia="黑体"/>
          <w:b/>
          <w:bCs/>
          <w:color w:val="auto"/>
          <w:spacing w:val="60"/>
          <w:sz w:val="52"/>
          <w:szCs w:val="52"/>
          <w:highlight w:val="none"/>
        </w:rPr>
        <w:t>合同文件</w:t>
      </w:r>
    </w:p>
    <w:p w14:paraId="5C1B3849">
      <w:pPr>
        <w:spacing w:line="360" w:lineRule="auto"/>
        <w:jc w:val="center"/>
        <w:rPr>
          <w:rFonts w:ascii="黑体" w:hAnsi="黑体" w:eastAsia="黑体"/>
          <w:b/>
          <w:bCs/>
          <w:color w:val="auto"/>
          <w:szCs w:val="21"/>
          <w:highlight w:val="none"/>
        </w:rPr>
      </w:pPr>
      <w:r>
        <w:rPr>
          <w:rFonts w:hint="eastAsia" w:ascii="黑体" w:hAnsi="黑体" w:eastAsia="黑体"/>
          <w:b/>
          <w:bCs/>
          <w:color w:val="auto"/>
          <w:szCs w:val="21"/>
          <w:highlight w:val="none"/>
        </w:rPr>
        <w:t>（合同编号：</w:t>
      </w:r>
      <w:r>
        <w:rPr>
          <w:rFonts w:hint="eastAsia" w:ascii="黑体" w:hAnsi="黑体" w:eastAsia="黑体"/>
          <w:b/>
          <w:bCs/>
          <w:color w:val="auto"/>
          <w:szCs w:val="21"/>
          <w:highlight w:val="none"/>
          <w:u w:val="single"/>
        </w:rPr>
        <w:t xml:space="preserve">         </w:t>
      </w:r>
      <w:r>
        <w:rPr>
          <w:rFonts w:hint="eastAsia" w:ascii="黑体" w:hAnsi="黑体" w:eastAsia="黑体"/>
          <w:b/>
          <w:bCs/>
          <w:color w:val="auto"/>
          <w:szCs w:val="21"/>
          <w:highlight w:val="none"/>
        </w:rPr>
        <w:t>）</w:t>
      </w:r>
    </w:p>
    <w:p w14:paraId="5423C364">
      <w:pPr>
        <w:spacing w:line="360" w:lineRule="auto"/>
        <w:rPr>
          <w:rFonts w:ascii="黑体" w:hAnsi="黑体" w:eastAsia="黑体"/>
          <w:b/>
          <w:bCs/>
          <w:color w:val="auto"/>
          <w:szCs w:val="21"/>
          <w:highlight w:val="none"/>
        </w:rPr>
      </w:pPr>
    </w:p>
    <w:p w14:paraId="42E65E0E">
      <w:pPr>
        <w:spacing w:line="360" w:lineRule="auto"/>
        <w:rPr>
          <w:rFonts w:ascii="黑体" w:hAnsi="黑体" w:eastAsia="黑体"/>
          <w:b/>
          <w:bCs/>
          <w:color w:val="auto"/>
          <w:szCs w:val="21"/>
          <w:highlight w:val="none"/>
        </w:rPr>
      </w:pPr>
    </w:p>
    <w:p w14:paraId="24E6982E">
      <w:pPr>
        <w:spacing w:line="360" w:lineRule="auto"/>
        <w:rPr>
          <w:rFonts w:ascii="黑体" w:hAnsi="黑体" w:eastAsia="黑体"/>
          <w:b/>
          <w:bCs/>
          <w:color w:val="auto"/>
          <w:szCs w:val="21"/>
          <w:highlight w:val="none"/>
        </w:rPr>
      </w:pPr>
    </w:p>
    <w:p w14:paraId="7B172C6D">
      <w:pPr>
        <w:spacing w:line="360" w:lineRule="auto"/>
        <w:rPr>
          <w:rFonts w:ascii="黑体" w:hAnsi="黑体" w:eastAsia="黑体"/>
          <w:b/>
          <w:bCs/>
          <w:color w:val="auto"/>
          <w:szCs w:val="21"/>
          <w:highlight w:val="none"/>
        </w:rPr>
      </w:pPr>
    </w:p>
    <w:p w14:paraId="2219B840">
      <w:pPr>
        <w:spacing w:line="360" w:lineRule="auto"/>
        <w:rPr>
          <w:rFonts w:ascii="黑体" w:hAnsi="黑体" w:eastAsia="黑体"/>
          <w:b/>
          <w:bCs/>
          <w:color w:val="auto"/>
          <w:szCs w:val="21"/>
          <w:highlight w:val="none"/>
        </w:rPr>
      </w:pPr>
    </w:p>
    <w:tbl>
      <w:tblPr>
        <w:tblStyle w:val="20"/>
        <w:tblW w:w="73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49"/>
        <w:gridCol w:w="4961"/>
      </w:tblGrid>
      <w:tr w14:paraId="57C0B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2349" w:type="dxa"/>
            <w:vAlign w:val="top"/>
          </w:tcPr>
          <w:p w14:paraId="33A6D459">
            <w:pPr>
              <w:spacing w:line="360" w:lineRule="auto"/>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甲方（采购人）：</w:t>
            </w:r>
          </w:p>
        </w:tc>
        <w:tc>
          <w:tcPr>
            <w:tcW w:w="4961" w:type="dxa"/>
            <w:vAlign w:val="top"/>
          </w:tcPr>
          <w:p w14:paraId="4C0A88C7">
            <w:pPr>
              <w:spacing w:line="360" w:lineRule="auto"/>
              <w:rPr>
                <w:rFonts w:ascii="黑体" w:hAnsi="黑体" w:eastAsia="黑体"/>
                <w:b/>
                <w:bCs/>
                <w:color w:val="auto"/>
                <w:sz w:val="28"/>
                <w:szCs w:val="28"/>
                <w:highlight w:val="none"/>
                <w:u w:val="single"/>
              </w:rPr>
            </w:pPr>
            <w:r>
              <w:rPr>
                <w:rFonts w:hint="eastAsia" w:ascii="黑体" w:hAnsi="黑体" w:eastAsia="黑体"/>
                <w:b/>
                <w:bCs/>
                <w:color w:val="auto"/>
                <w:sz w:val="28"/>
                <w:szCs w:val="28"/>
                <w:highlight w:val="none"/>
                <w:u w:val="single"/>
              </w:rPr>
              <w:t xml:space="preserve">                                             </w:t>
            </w:r>
          </w:p>
        </w:tc>
      </w:tr>
      <w:tr w14:paraId="613B6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2349" w:type="dxa"/>
            <w:vAlign w:val="top"/>
          </w:tcPr>
          <w:p w14:paraId="481AADE5">
            <w:pPr>
              <w:spacing w:line="360" w:lineRule="auto"/>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乙方（中标人）：</w:t>
            </w:r>
          </w:p>
        </w:tc>
        <w:tc>
          <w:tcPr>
            <w:tcW w:w="4961" w:type="dxa"/>
            <w:vAlign w:val="top"/>
          </w:tcPr>
          <w:p w14:paraId="23E62C86">
            <w:pPr>
              <w:spacing w:line="360" w:lineRule="auto"/>
              <w:rPr>
                <w:rFonts w:ascii="黑体" w:hAnsi="黑体" w:eastAsia="黑体"/>
                <w:b/>
                <w:bCs/>
                <w:color w:val="auto"/>
                <w:sz w:val="28"/>
                <w:szCs w:val="28"/>
                <w:highlight w:val="none"/>
                <w:u w:val="single"/>
              </w:rPr>
            </w:pPr>
            <w:r>
              <w:rPr>
                <w:rFonts w:hint="eastAsia" w:ascii="黑体" w:hAnsi="黑体" w:eastAsia="黑体"/>
                <w:b/>
                <w:bCs/>
                <w:color w:val="auto"/>
                <w:sz w:val="28"/>
                <w:szCs w:val="28"/>
                <w:highlight w:val="none"/>
                <w:u w:val="single"/>
              </w:rPr>
              <w:t xml:space="preserve">                                             </w:t>
            </w:r>
          </w:p>
        </w:tc>
      </w:tr>
      <w:tr w14:paraId="33D1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jc w:val="center"/>
        </w:trPr>
        <w:tc>
          <w:tcPr>
            <w:tcW w:w="2349" w:type="dxa"/>
            <w:vAlign w:val="top"/>
          </w:tcPr>
          <w:p w14:paraId="07CC6A23">
            <w:pPr>
              <w:spacing w:line="360" w:lineRule="auto"/>
              <w:rPr>
                <w:rFonts w:ascii="黑体" w:hAnsi="黑体" w:eastAsia="黑体"/>
                <w:b/>
                <w:bCs/>
                <w:color w:val="auto"/>
                <w:spacing w:val="9"/>
                <w:sz w:val="28"/>
                <w:szCs w:val="28"/>
                <w:highlight w:val="none"/>
              </w:rPr>
            </w:pPr>
            <w:r>
              <w:rPr>
                <w:rFonts w:hint="eastAsia" w:ascii="黑体" w:hAnsi="黑体" w:eastAsia="黑体"/>
                <w:b/>
                <w:bCs/>
                <w:color w:val="auto"/>
                <w:spacing w:val="9"/>
                <w:sz w:val="28"/>
                <w:szCs w:val="28"/>
                <w:highlight w:val="none"/>
              </w:rPr>
              <w:t>协议签订时间：</w:t>
            </w:r>
          </w:p>
        </w:tc>
        <w:tc>
          <w:tcPr>
            <w:tcW w:w="4961" w:type="dxa"/>
            <w:vAlign w:val="top"/>
          </w:tcPr>
          <w:p w14:paraId="21320948">
            <w:pPr>
              <w:spacing w:line="360" w:lineRule="auto"/>
              <w:rPr>
                <w:rFonts w:ascii="黑体" w:hAnsi="黑体" w:eastAsia="黑体"/>
                <w:b/>
                <w:bCs/>
                <w:color w:val="auto"/>
                <w:sz w:val="28"/>
                <w:szCs w:val="28"/>
                <w:highlight w:val="none"/>
                <w:u w:val="single"/>
              </w:rPr>
            </w:pPr>
            <w:r>
              <w:rPr>
                <w:rFonts w:hint="eastAsia" w:ascii="黑体" w:hAnsi="黑体" w:eastAsia="黑体"/>
                <w:b/>
                <w:bCs/>
                <w:color w:val="auto"/>
                <w:sz w:val="28"/>
                <w:szCs w:val="28"/>
                <w:highlight w:val="none"/>
                <w:u w:val="single"/>
              </w:rPr>
              <w:t xml:space="preserve">                                            </w:t>
            </w:r>
          </w:p>
        </w:tc>
      </w:tr>
    </w:tbl>
    <w:p w14:paraId="375EF9CD">
      <w:pPr>
        <w:spacing w:line="360" w:lineRule="auto"/>
        <w:rPr>
          <w:rFonts w:ascii="黑体" w:hAnsi="黑体" w:eastAsia="黑体"/>
          <w:b/>
          <w:bCs/>
          <w:color w:val="auto"/>
          <w:szCs w:val="21"/>
          <w:highlight w:val="none"/>
        </w:rPr>
      </w:pPr>
    </w:p>
    <w:p w14:paraId="148FD6A7">
      <w:pPr>
        <w:spacing w:line="360" w:lineRule="auto"/>
        <w:rPr>
          <w:rFonts w:ascii="黑体" w:hAnsi="黑体" w:eastAsia="黑体"/>
          <w:b/>
          <w:bCs/>
          <w:color w:val="auto"/>
          <w:szCs w:val="21"/>
          <w:highlight w:val="none"/>
        </w:rPr>
      </w:pPr>
    </w:p>
    <w:p w14:paraId="29B500BB">
      <w:pPr>
        <w:tabs>
          <w:tab w:val="left" w:pos="720"/>
        </w:tabs>
        <w:spacing w:line="360" w:lineRule="auto"/>
        <w:jc w:val="center"/>
        <w:rPr>
          <w:rFonts w:ascii="黑体" w:hAnsi="黑体" w:eastAsia="黑体"/>
          <w:color w:val="auto"/>
          <w:spacing w:val="20"/>
          <w:sz w:val="28"/>
          <w:szCs w:val="28"/>
          <w:highlight w:val="none"/>
        </w:rPr>
      </w:pPr>
      <w:r>
        <w:rPr>
          <w:rFonts w:hint="eastAsia" w:ascii="黑体" w:hAnsi="黑体" w:eastAsia="黑体"/>
          <w:color w:val="auto"/>
          <w:spacing w:val="20"/>
          <w:sz w:val="28"/>
          <w:szCs w:val="28"/>
          <w:highlight w:val="none"/>
          <w:lang w:eastAsia="zh-CN"/>
        </w:rPr>
        <w:t>二零二六</w:t>
      </w:r>
      <w:r>
        <w:rPr>
          <w:rFonts w:hint="eastAsia" w:ascii="黑体" w:hAnsi="黑体" w:eastAsia="黑体"/>
          <w:color w:val="auto"/>
          <w:spacing w:val="20"/>
          <w:sz w:val="28"/>
          <w:szCs w:val="28"/>
          <w:highlight w:val="none"/>
        </w:rPr>
        <w:t>年</w:t>
      </w:r>
      <w:r>
        <w:rPr>
          <w:rFonts w:hint="eastAsia" w:ascii="黑体" w:hAnsi="黑体" w:eastAsia="黑体"/>
          <w:color w:val="auto"/>
          <w:spacing w:val="20"/>
          <w:sz w:val="28"/>
          <w:szCs w:val="28"/>
          <w:highlight w:val="none"/>
          <w:u w:val="single"/>
        </w:rPr>
        <w:t xml:space="preserve">   </w:t>
      </w:r>
      <w:r>
        <w:rPr>
          <w:rFonts w:hint="eastAsia" w:ascii="黑体" w:hAnsi="黑体" w:eastAsia="黑体"/>
          <w:color w:val="auto"/>
          <w:spacing w:val="20"/>
          <w:sz w:val="28"/>
          <w:szCs w:val="28"/>
          <w:highlight w:val="none"/>
        </w:rPr>
        <w:t>月</w:t>
      </w:r>
    </w:p>
    <w:p w14:paraId="219DB793">
      <w:pPr>
        <w:spacing w:beforeLines="100"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为推进</w:t>
      </w:r>
      <w:r>
        <w:rPr>
          <w:rFonts w:hint="eastAsia" w:ascii="黑体" w:hAnsi="黑体" w:eastAsia="黑体"/>
          <w:color w:val="auto"/>
          <w:szCs w:val="21"/>
          <w:highlight w:val="none"/>
          <w:lang w:val="en-US" w:eastAsia="zh-CN"/>
        </w:rPr>
        <w:t>松山湖高新区</w:t>
      </w:r>
      <w:r>
        <w:rPr>
          <w:rFonts w:hint="eastAsia" w:ascii="黑体" w:hAnsi="黑体" w:eastAsia="黑体"/>
          <w:color w:val="auto"/>
          <w:szCs w:val="21"/>
          <w:highlight w:val="none"/>
        </w:rPr>
        <w:t>财政资金保值增值业务管理工作的顺利进行，确保财政资金运行高效、安全，根据广东省财政厅《关于进一步加强财政部门和预算单位资金存放管理的实施意见》(粤财库【2017】59号)和中国人民银行有关规定，</w:t>
      </w:r>
      <w:r>
        <w:rPr>
          <w:rFonts w:hint="eastAsia" w:ascii="黑体" w:hAnsi="黑体" w:eastAsia="黑体"/>
          <w:color w:val="auto"/>
          <w:szCs w:val="21"/>
          <w:highlight w:val="none"/>
          <w:lang w:eastAsia="zh-CN"/>
        </w:rPr>
        <w:t>东莞松山湖高新技术产业开发区管理委员会</w:t>
      </w:r>
      <w:r>
        <w:rPr>
          <w:rFonts w:hint="eastAsia" w:ascii="黑体" w:hAnsi="黑体" w:eastAsia="黑体"/>
          <w:color w:val="auto"/>
          <w:szCs w:val="21"/>
          <w:highlight w:val="none"/>
        </w:rPr>
        <w:t>（以下简称甲方）委托</w:t>
      </w:r>
      <w:r>
        <w:rPr>
          <w:rFonts w:hint="eastAsia" w:ascii="黑体" w:hAnsi="黑体" w:eastAsia="黑体"/>
          <w:color w:val="auto"/>
          <w:szCs w:val="21"/>
          <w:highlight w:val="none"/>
          <w:u w:val="single"/>
        </w:rPr>
        <w:t xml:space="preserve">               </w:t>
      </w:r>
      <w:r>
        <w:rPr>
          <w:rFonts w:hint="eastAsia" w:ascii="黑体" w:hAnsi="黑体" w:eastAsia="黑体"/>
          <w:color w:val="auto"/>
          <w:szCs w:val="21"/>
          <w:highlight w:val="none"/>
        </w:rPr>
        <w:t>（以下简称乙方）管理财政资金保值增值业务，双方达成如下协议：</w:t>
      </w:r>
    </w:p>
    <w:p w14:paraId="690AE5AC">
      <w:pPr>
        <w:numPr>
          <w:ilvl w:val="0"/>
          <w:numId w:val="55"/>
        </w:numPr>
        <w:spacing w:before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委托代理事项</w:t>
      </w:r>
    </w:p>
    <w:p w14:paraId="28870109">
      <w:pPr>
        <w:numPr>
          <w:ilvl w:val="0"/>
          <w:numId w:val="56"/>
        </w:numPr>
        <w:spacing w:line="360" w:lineRule="auto"/>
        <w:rPr>
          <w:rFonts w:hint="default" w:eastAsia="黑体"/>
          <w:color w:val="auto"/>
          <w:highlight w:val="none"/>
          <w:lang w:val="en-US" w:eastAsia="zh-CN"/>
        </w:rPr>
      </w:pPr>
      <w:r>
        <w:rPr>
          <w:rFonts w:hint="eastAsia" w:ascii="黑体" w:hAnsi="黑体" w:eastAsia="黑体"/>
          <w:color w:val="auto"/>
          <w:szCs w:val="21"/>
          <w:highlight w:val="none"/>
        </w:rPr>
        <w:t>甲方委托乙方代理财政资金保值增值管理业务</w:t>
      </w:r>
      <w:r>
        <w:rPr>
          <w:rFonts w:hint="eastAsia" w:ascii="黑体" w:hAnsi="黑体" w:eastAsia="黑体"/>
          <w:color w:val="auto"/>
          <w:szCs w:val="21"/>
          <w:highlight w:val="none"/>
          <w:lang w:eastAsia="zh-CN"/>
        </w:rPr>
        <w:t>。</w:t>
      </w:r>
    </w:p>
    <w:p w14:paraId="1E5C8ED4">
      <w:pPr>
        <w:numPr>
          <w:ilvl w:val="0"/>
          <w:numId w:val="56"/>
        </w:numPr>
        <w:spacing w:line="360" w:lineRule="auto"/>
        <w:rPr>
          <w:color w:val="auto"/>
          <w:highlight w:val="none"/>
        </w:rPr>
      </w:pPr>
      <w:r>
        <w:rPr>
          <w:rFonts w:hint="eastAsia" w:ascii="黑体" w:hAnsi="黑体" w:eastAsia="黑体"/>
          <w:color w:val="auto"/>
          <w:szCs w:val="21"/>
          <w:highlight w:val="none"/>
        </w:rPr>
        <w:t>本协议有效期间，</w:t>
      </w:r>
      <w:r>
        <w:rPr>
          <w:rFonts w:hint="eastAsia" w:ascii="黑体" w:hAnsi="黑体" w:eastAsia="黑体"/>
          <w:color w:val="auto"/>
          <w:szCs w:val="21"/>
          <w:highlight w:val="none"/>
          <w:lang w:eastAsia="zh-CN"/>
        </w:rPr>
        <w:t>如甲方办理</w:t>
      </w:r>
      <w:r>
        <w:rPr>
          <w:rFonts w:hint="eastAsia" w:ascii="黑体" w:hAnsi="黑体" w:eastAsia="黑体"/>
          <w:color w:val="auto"/>
          <w:szCs w:val="21"/>
          <w:highlight w:val="none"/>
        </w:rPr>
        <w:t>财政资金保值增值业务</w:t>
      </w:r>
      <w:r>
        <w:rPr>
          <w:rFonts w:hint="eastAsia" w:ascii="黑体" w:hAnsi="黑体" w:eastAsia="黑体"/>
          <w:color w:val="auto"/>
          <w:szCs w:val="21"/>
          <w:highlight w:val="none"/>
          <w:lang w:eastAsia="zh-CN"/>
        </w:rPr>
        <w:t>，</w:t>
      </w:r>
      <w:r>
        <w:rPr>
          <w:rFonts w:hint="eastAsia" w:ascii="黑体" w:hAnsi="黑体" w:eastAsia="黑体"/>
          <w:color w:val="auto"/>
          <w:szCs w:val="21"/>
          <w:highlight w:val="none"/>
        </w:rPr>
        <w:t>乙方</w:t>
      </w:r>
      <w:r>
        <w:rPr>
          <w:rFonts w:hint="eastAsia" w:ascii="黑体" w:hAnsi="黑体" w:eastAsia="黑体"/>
          <w:color w:val="auto"/>
          <w:szCs w:val="21"/>
          <w:highlight w:val="none"/>
          <w:lang w:eastAsia="zh-CN"/>
        </w:rPr>
        <w:t>分配比例为</w:t>
      </w:r>
      <w:r>
        <w:rPr>
          <w:rFonts w:hint="eastAsia" w:ascii="黑体" w:hAnsi="黑体" w:eastAsia="黑体"/>
          <w:color w:val="auto"/>
          <w:szCs w:val="21"/>
          <w:highlight w:val="none"/>
          <w:u w:val="single"/>
          <w:lang w:val="en-US" w:eastAsia="zh-CN"/>
        </w:rPr>
        <w:t xml:space="preserve">    </w:t>
      </w:r>
      <w:r>
        <w:rPr>
          <w:rFonts w:hint="eastAsia" w:ascii="黑体" w:hAnsi="黑体" w:eastAsia="黑体"/>
          <w:color w:val="auto"/>
          <w:szCs w:val="21"/>
          <w:highlight w:val="none"/>
          <w:lang w:val="en-US" w:eastAsia="zh-CN"/>
        </w:rPr>
        <w:t xml:space="preserve"> %。</w:t>
      </w:r>
    </w:p>
    <w:p w14:paraId="6BE2D19A">
      <w:pPr>
        <w:numPr>
          <w:ilvl w:val="0"/>
          <w:numId w:val="56"/>
        </w:numPr>
        <w:spacing w:line="360" w:lineRule="auto"/>
        <w:rPr>
          <w:rFonts w:hint="eastAsia" w:ascii="黑体" w:hAnsi="黑体" w:eastAsia="黑体"/>
          <w:color w:val="auto"/>
          <w:szCs w:val="21"/>
          <w:highlight w:val="none"/>
        </w:rPr>
      </w:pPr>
      <w:r>
        <w:rPr>
          <w:rFonts w:hint="default" w:ascii="黑体" w:hAnsi="黑体" w:eastAsia="黑体"/>
          <w:color w:val="auto"/>
          <w:szCs w:val="21"/>
          <w:highlight w:val="none"/>
        </w:rPr>
        <w:t>乙方</w:t>
      </w:r>
      <w:r>
        <w:rPr>
          <w:rFonts w:hint="eastAsia" w:ascii="黑体" w:hAnsi="黑体" w:eastAsia="黑体"/>
          <w:color w:val="auto"/>
          <w:szCs w:val="21"/>
          <w:highlight w:val="none"/>
          <w:lang w:eastAsia="zh-CN"/>
        </w:rPr>
        <w:t>为甲方</w:t>
      </w:r>
      <w:r>
        <w:rPr>
          <w:rFonts w:hint="eastAsia" w:ascii="黑体" w:hAnsi="黑体" w:eastAsia="黑体"/>
          <w:color w:val="auto"/>
          <w:szCs w:val="21"/>
          <w:highlight w:val="none"/>
        </w:rPr>
        <w:t>财政资金保值增值业务</w:t>
      </w:r>
      <w:r>
        <w:rPr>
          <w:rFonts w:hint="default" w:ascii="黑体" w:hAnsi="黑体" w:eastAsia="黑体"/>
          <w:color w:val="auto"/>
          <w:szCs w:val="21"/>
          <w:highlight w:val="none"/>
        </w:rPr>
        <w:t>提供以下存放利率</w:t>
      </w:r>
      <w:r>
        <w:rPr>
          <w:rFonts w:hint="eastAsia" w:ascii="黑体" w:hAnsi="黑体" w:eastAsia="黑体"/>
          <w:color w:val="auto"/>
          <w:szCs w:val="21"/>
          <w:highlight w:val="none"/>
          <w:lang w:eastAsia="zh-CN"/>
        </w:rPr>
        <w:t>：</w:t>
      </w:r>
    </w:p>
    <w:p w14:paraId="01C92241">
      <w:pPr>
        <w:pStyle w:val="6"/>
        <w:numPr>
          <w:ilvl w:val="0"/>
          <w:numId w:val="57"/>
        </w:numPr>
        <w:rPr>
          <w:rFonts w:hint="default" w:ascii="黑体" w:hAnsi="黑体" w:eastAsia="黑体" w:cs="Times New Roman"/>
          <w:color w:val="auto"/>
          <w:kern w:val="2"/>
          <w:sz w:val="21"/>
          <w:szCs w:val="21"/>
          <w:highlight w:val="none"/>
          <w:lang w:val="en-US" w:eastAsia="zh-CN" w:bidi="ar-SA"/>
        </w:rPr>
      </w:pPr>
      <w:r>
        <w:rPr>
          <w:rFonts w:hint="default" w:ascii="黑体" w:hAnsi="黑体" w:eastAsia="黑体" w:cs="Times New Roman"/>
          <w:color w:val="auto"/>
          <w:kern w:val="2"/>
          <w:sz w:val="21"/>
          <w:szCs w:val="21"/>
          <w:highlight w:val="none"/>
          <w:lang w:val="en-US" w:eastAsia="zh-CN" w:bidi="ar-SA"/>
        </w:rPr>
        <w:t>中国人民银行同期公布的六个月</w:t>
      </w:r>
      <w:r>
        <w:rPr>
          <w:rFonts w:hint="eastAsia" w:ascii="黑体" w:hAnsi="黑体" w:eastAsia="黑体" w:cs="Times New Roman"/>
          <w:color w:val="auto"/>
          <w:kern w:val="2"/>
          <w:sz w:val="21"/>
          <w:szCs w:val="21"/>
          <w:highlight w:val="none"/>
          <w:lang w:val="en-US" w:eastAsia="zh-CN" w:bidi="ar-SA"/>
        </w:rPr>
        <w:t>定期</w:t>
      </w:r>
      <w:r>
        <w:rPr>
          <w:rFonts w:hint="default" w:ascii="黑体" w:hAnsi="黑体" w:eastAsia="黑体" w:cs="Times New Roman"/>
          <w:color w:val="auto"/>
          <w:kern w:val="2"/>
          <w:sz w:val="21"/>
          <w:szCs w:val="21"/>
          <w:highlight w:val="none"/>
          <w:lang w:val="en-US" w:eastAsia="zh-CN" w:bidi="ar-SA"/>
        </w:rPr>
        <w:t>存款的基准利率上浮</w:t>
      </w:r>
      <w:r>
        <w:rPr>
          <w:rFonts w:hint="eastAsia" w:ascii="黑体" w:hAnsi="黑体" w:eastAsia="黑体" w:cs="Times New Roman"/>
          <w:color w:val="auto"/>
          <w:kern w:val="2"/>
          <w:sz w:val="21"/>
          <w:szCs w:val="21"/>
          <w:highlight w:val="none"/>
          <w:lang w:val="en-US" w:eastAsia="zh-CN" w:bidi="ar-SA"/>
        </w:rPr>
        <w:t>/下浮</w:t>
      </w:r>
      <w:r>
        <w:rPr>
          <w:rFonts w:hint="default" w:ascii="黑体" w:hAnsi="黑体" w:eastAsia="黑体" w:cs="Times New Roman"/>
          <w:color w:val="auto"/>
          <w:kern w:val="2"/>
          <w:sz w:val="21"/>
          <w:szCs w:val="21"/>
          <w:highlight w:val="none"/>
          <w:u w:val="single"/>
          <w:lang w:val="en-US" w:eastAsia="zh-CN" w:bidi="ar-SA"/>
        </w:rPr>
        <w:t xml:space="preserve"> </w:t>
      </w:r>
      <w:r>
        <w:rPr>
          <w:rFonts w:hint="eastAsia" w:ascii="黑体" w:hAnsi="黑体" w:eastAsia="黑体" w:cs="Times New Roman"/>
          <w:color w:val="auto"/>
          <w:kern w:val="2"/>
          <w:sz w:val="21"/>
          <w:szCs w:val="21"/>
          <w:highlight w:val="none"/>
          <w:u w:val="single"/>
          <w:lang w:val="en-US" w:eastAsia="zh-CN" w:bidi="ar-SA"/>
        </w:rPr>
        <w:t xml:space="preserve">  </w:t>
      </w:r>
      <w:r>
        <w:rPr>
          <w:rFonts w:hint="default" w:ascii="黑体" w:hAnsi="黑体" w:eastAsia="黑体" w:cs="Times New Roman"/>
          <w:color w:val="auto"/>
          <w:kern w:val="2"/>
          <w:sz w:val="21"/>
          <w:szCs w:val="21"/>
          <w:highlight w:val="none"/>
          <w:u w:val="single"/>
          <w:lang w:val="en-US" w:eastAsia="zh-CN" w:bidi="ar-SA"/>
        </w:rPr>
        <w:t xml:space="preserve"> </w:t>
      </w:r>
      <w:r>
        <w:rPr>
          <w:rFonts w:hint="default" w:ascii="黑体" w:hAnsi="黑体" w:eastAsia="黑体" w:cs="Times New Roman"/>
          <w:color w:val="auto"/>
          <w:kern w:val="2"/>
          <w:sz w:val="21"/>
          <w:szCs w:val="21"/>
          <w:highlight w:val="none"/>
          <w:lang w:val="en-US" w:eastAsia="zh-CN" w:bidi="ar-SA"/>
        </w:rPr>
        <w:t>BP。</w:t>
      </w:r>
    </w:p>
    <w:p w14:paraId="593745AC">
      <w:pPr>
        <w:pStyle w:val="6"/>
        <w:numPr>
          <w:ilvl w:val="0"/>
          <w:numId w:val="57"/>
        </w:numPr>
        <w:rPr>
          <w:rFonts w:hint="eastAsia" w:ascii="黑体" w:hAnsi="黑体" w:eastAsia="黑体" w:cs="Times New Roman"/>
          <w:color w:val="auto"/>
          <w:kern w:val="2"/>
          <w:sz w:val="21"/>
          <w:szCs w:val="21"/>
          <w:highlight w:val="none"/>
          <w:lang w:val="en-US" w:eastAsia="zh-CN" w:bidi="ar-SA"/>
        </w:rPr>
      </w:pPr>
      <w:r>
        <w:rPr>
          <w:rFonts w:hint="default" w:ascii="黑体" w:hAnsi="黑体" w:eastAsia="黑体" w:cs="Times New Roman"/>
          <w:color w:val="auto"/>
          <w:kern w:val="2"/>
          <w:sz w:val="21"/>
          <w:szCs w:val="21"/>
          <w:highlight w:val="none"/>
          <w:lang w:val="en-US" w:eastAsia="zh-CN" w:bidi="ar-SA"/>
        </w:rPr>
        <w:t>中国人民银行同期公布的一年期</w:t>
      </w:r>
      <w:r>
        <w:rPr>
          <w:rFonts w:hint="eastAsia" w:ascii="黑体" w:hAnsi="黑体" w:eastAsia="黑体" w:cs="Times New Roman"/>
          <w:color w:val="auto"/>
          <w:kern w:val="2"/>
          <w:sz w:val="21"/>
          <w:szCs w:val="21"/>
          <w:highlight w:val="none"/>
          <w:lang w:val="en-US" w:eastAsia="zh-CN" w:bidi="ar-SA"/>
        </w:rPr>
        <w:t>定期款</w:t>
      </w:r>
      <w:r>
        <w:rPr>
          <w:rFonts w:hint="default" w:ascii="黑体" w:hAnsi="黑体" w:eastAsia="黑体" w:cs="Times New Roman"/>
          <w:color w:val="auto"/>
          <w:kern w:val="2"/>
          <w:sz w:val="21"/>
          <w:szCs w:val="21"/>
          <w:highlight w:val="none"/>
          <w:lang w:val="en-US" w:eastAsia="zh-CN" w:bidi="ar-SA"/>
        </w:rPr>
        <w:t>存款的基准利率上浮</w:t>
      </w:r>
      <w:r>
        <w:rPr>
          <w:rFonts w:hint="eastAsia" w:ascii="黑体" w:hAnsi="黑体" w:eastAsia="黑体" w:cs="Times New Roman"/>
          <w:color w:val="auto"/>
          <w:kern w:val="2"/>
          <w:sz w:val="21"/>
          <w:szCs w:val="21"/>
          <w:highlight w:val="none"/>
          <w:lang w:val="en-US" w:eastAsia="zh-CN" w:bidi="ar-SA"/>
        </w:rPr>
        <w:t>/下浮</w:t>
      </w:r>
      <w:r>
        <w:rPr>
          <w:rFonts w:hint="default" w:ascii="黑体" w:hAnsi="黑体" w:eastAsia="黑体" w:cs="Times New Roman"/>
          <w:color w:val="auto"/>
          <w:kern w:val="2"/>
          <w:sz w:val="21"/>
          <w:szCs w:val="21"/>
          <w:highlight w:val="none"/>
          <w:u w:val="single"/>
          <w:lang w:val="en-US" w:eastAsia="zh-CN" w:bidi="ar-SA"/>
        </w:rPr>
        <w:t xml:space="preserve"> </w:t>
      </w:r>
      <w:r>
        <w:rPr>
          <w:rFonts w:hint="eastAsia" w:ascii="黑体" w:hAnsi="黑体" w:eastAsia="黑体" w:cs="Times New Roman"/>
          <w:color w:val="auto"/>
          <w:kern w:val="2"/>
          <w:sz w:val="21"/>
          <w:szCs w:val="21"/>
          <w:highlight w:val="none"/>
          <w:u w:val="single"/>
          <w:lang w:val="en-US" w:eastAsia="zh-CN" w:bidi="ar-SA"/>
        </w:rPr>
        <w:t xml:space="preserve">  </w:t>
      </w:r>
      <w:r>
        <w:rPr>
          <w:rFonts w:hint="default" w:ascii="黑体" w:hAnsi="黑体" w:eastAsia="黑体" w:cs="Times New Roman"/>
          <w:color w:val="auto"/>
          <w:kern w:val="2"/>
          <w:sz w:val="21"/>
          <w:szCs w:val="21"/>
          <w:highlight w:val="none"/>
          <w:u w:val="single"/>
          <w:lang w:val="en-US" w:eastAsia="zh-CN" w:bidi="ar-SA"/>
        </w:rPr>
        <w:t xml:space="preserve"> </w:t>
      </w:r>
      <w:r>
        <w:rPr>
          <w:rFonts w:hint="default" w:ascii="黑体" w:hAnsi="黑体" w:eastAsia="黑体" w:cs="Times New Roman"/>
          <w:color w:val="auto"/>
          <w:kern w:val="2"/>
          <w:sz w:val="21"/>
          <w:szCs w:val="21"/>
          <w:highlight w:val="none"/>
          <w:lang w:val="en-US" w:eastAsia="zh-CN" w:bidi="ar-SA"/>
        </w:rPr>
        <w:t>BP。</w:t>
      </w:r>
    </w:p>
    <w:p w14:paraId="0B50528D">
      <w:pPr>
        <w:numPr>
          <w:ilvl w:val="0"/>
          <w:numId w:val="0"/>
        </w:numPr>
        <w:spacing w:line="360" w:lineRule="auto"/>
        <w:ind w:left="420" w:leftChars="200" w:firstLine="0" w:firstLineChars="0"/>
        <w:rPr>
          <w:rFonts w:hint="eastAsia" w:ascii="黑体" w:hAnsi="黑体" w:eastAsia="黑体"/>
          <w:color w:val="auto"/>
          <w:szCs w:val="21"/>
          <w:highlight w:val="none"/>
          <w:lang w:val="en-US" w:eastAsia="zh-CN"/>
        </w:rPr>
      </w:pPr>
      <w:r>
        <w:rPr>
          <w:rFonts w:hint="eastAsia" w:ascii="黑体" w:hAnsi="黑体" w:eastAsia="黑体"/>
          <w:color w:val="auto"/>
          <w:szCs w:val="21"/>
          <w:highlight w:val="none"/>
          <w:lang w:eastAsia="zh-CN"/>
        </w:rPr>
        <w:t>以上</w:t>
      </w:r>
      <w:r>
        <w:rPr>
          <w:rFonts w:hint="default" w:ascii="黑体" w:hAnsi="黑体" w:eastAsia="黑体"/>
          <w:color w:val="auto"/>
          <w:szCs w:val="21"/>
          <w:highlight w:val="none"/>
          <w:lang w:eastAsia="zh-CN"/>
        </w:rPr>
        <w:t>报价出具之日起生效，有效期至中国人民银行公布的对应期限的</w:t>
      </w:r>
      <w:r>
        <w:rPr>
          <w:rFonts w:hint="eastAsia" w:ascii="黑体" w:hAnsi="黑体" w:eastAsia="黑体"/>
          <w:color w:val="auto"/>
          <w:szCs w:val="21"/>
          <w:highlight w:val="none"/>
          <w:lang w:eastAsia="zh-CN"/>
        </w:rPr>
        <w:t>定期</w:t>
      </w:r>
      <w:r>
        <w:rPr>
          <w:rFonts w:hint="default" w:ascii="黑体" w:hAnsi="黑体" w:eastAsia="黑体"/>
          <w:color w:val="auto"/>
          <w:szCs w:val="21"/>
          <w:highlight w:val="none"/>
          <w:lang w:eastAsia="zh-CN"/>
        </w:rPr>
        <w:t>存款基准利率、市场利率定价自律机制存款利率上限发生调整之日止；在上述调整生效前，本报价利率持续有效。</w:t>
      </w:r>
    </w:p>
    <w:p w14:paraId="3977FD61">
      <w:pPr>
        <w:numPr>
          <w:ilvl w:val="0"/>
          <w:numId w:val="56"/>
        </w:numPr>
        <w:spacing w:line="360" w:lineRule="auto"/>
        <w:rPr>
          <w:color w:val="auto"/>
          <w:highlight w:val="none"/>
        </w:rPr>
      </w:pPr>
      <w:r>
        <w:rPr>
          <w:rFonts w:hint="eastAsia" w:ascii="黑体" w:hAnsi="黑体" w:eastAsia="黑体"/>
          <w:color w:val="auto"/>
          <w:szCs w:val="21"/>
          <w:highlight w:val="none"/>
        </w:rPr>
        <w:t>本协议有效期间，乙方须确保所申报的基准利率或利率上限是符合国家利率政策规定、全国及东莞地区市场利率定价自律机制自律管理要求。如存款基准利率调整，乙方在投标时所承诺的存款基准利率随之调整，与人民银行公布的基准利率保持一致。</w:t>
      </w:r>
    </w:p>
    <w:p w14:paraId="181FC99D">
      <w:pPr>
        <w:numPr>
          <w:ilvl w:val="0"/>
          <w:numId w:val="56"/>
        </w:numPr>
        <w:spacing w:line="360" w:lineRule="auto"/>
        <w:rPr>
          <w:rFonts w:hint="eastAsia" w:ascii="黑体" w:hAnsi="黑体" w:eastAsia="黑体"/>
          <w:color w:val="auto"/>
          <w:szCs w:val="21"/>
          <w:highlight w:val="none"/>
        </w:rPr>
      </w:pPr>
      <w:r>
        <w:rPr>
          <w:rFonts w:hint="eastAsia" w:ascii="黑体" w:hAnsi="黑体" w:eastAsia="黑体"/>
          <w:color w:val="auto"/>
          <w:szCs w:val="21"/>
          <w:highlight w:val="none"/>
        </w:rPr>
        <w:t>本协议有效期间，如遇东莞人民币存款利率上限调整，</w:t>
      </w:r>
      <w:r>
        <w:rPr>
          <w:rFonts w:hint="eastAsia" w:ascii="黑体" w:hAnsi="黑体" w:eastAsia="黑体"/>
          <w:color w:val="auto"/>
          <w:szCs w:val="21"/>
          <w:highlight w:val="none"/>
          <w:lang w:eastAsia="zh-CN"/>
        </w:rPr>
        <w:t>乙方应自调整之日告知甲方，</w:t>
      </w:r>
      <w:r>
        <w:rPr>
          <w:rFonts w:hint="eastAsia" w:ascii="黑体" w:hAnsi="黑体" w:eastAsia="黑体"/>
          <w:color w:val="auto"/>
          <w:szCs w:val="21"/>
          <w:highlight w:val="none"/>
        </w:rPr>
        <w:t>乙方在投标时所承诺的存款利率上浮幅度随之调整，与东莞人民币存款利率上限保持一致</w:t>
      </w:r>
      <w:r>
        <w:rPr>
          <w:rFonts w:hint="eastAsia" w:ascii="黑体" w:hAnsi="黑体" w:eastAsia="黑体"/>
          <w:color w:val="auto"/>
          <w:szCs w:val="21"/>
          <w:highlight w:val="none"/>
          <w:lang w:eastAsia="zh-CN"/>
        </w:rPr>
        <w:t>。</w:t>
      </w:r>
    </w:p>
    <w:p w14:paraId="30774B7D">
      <w:pPr>
        <w:numPr>
          <w:ilvl w:val="0"/>
          <w:numId w:val="56"/>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如乙方无法按照本协议要求存放存款，导致能够履约的乙方的分配比例的合计不足100%，余下部分按照中标比例分配到能够履约的中标人。分配比例取小数点后五位，如无法平均分配的，则尾数按排名顺序依次分配。</w:t>
      </w:r>
    </w:p>
    <w:p w14:paraId="68CD5769">
      <w:pPr>
        <w:numPr>
          <w:ilvl w:val="0"/>
          <w:numId w:val="56"/>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乙方向甲方反馈账户收支信息，向甲方及其指定单位提供实时查询服务</w:t>
      </w:r>
      <w:r>
        <w:rPr>
          <w:rFonts w:hint="eastAsia" w:ascii="黑体" w:hAnsi="黑体" w:eastAsia="黑体"/>
          <w:color w:val="auto"/>
          <w:szCs w:val="21"/>
          <w:highlight w:val="none"/>
          <w:lang w:eastAsia="zh-CN"/>
        </w:rPr>
        <w:t>。</w:t>
      </w:r>
    </w:p>
    <w:p w14:paraId="6582A99F">
      <w:pPr>
        <w:numPr>
          <w:ilvl w:val="0"/>
          <w:numId w:val="56"/>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乙方应按甲方指令办理按时支付利息，提前支取、转出到指定账户、销户等服务</w:t>
      </w:r>
      <w:r>
        <w:rPr>
          <w:rFonts w:hint="eastAsia" w:ascii="黑体" w:hAnsi="黑体" w:eastAsia="黑体"/>
          <w:color w:val="auto"/>
          <w:szCs w:val="21"/>
          <w:highlight w:val="none"/>
          <w:lang w:eastAsia="zh-CN"/>
        </w:rPr>
        <w:t>。</w:t>
      </w:r>
    </w:p>
    <w:p w14:paraId="7827C1C3">
      <w:pPr>
        <w:numPr>
          <w:ilvl w:val="0"/>
          <w:numId w:val="55"/>
        </w:numPr>
        <w:spacing w:before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财政资金账户管理业务</w:t>
      </w:r>
    </w:p>
    <w:p w14:paraId="763F6FC7">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乙方按银行业规定开设非结算账户用于接收财政</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资金，接收账户户名确定为“</w:t>
      </w:r>
      <w:r>
        <w:rPr>
          <w:rFonts w:hint="eastAsia" w:ascii="黑体" w:hAnsi="黑体" w:eastAsia="黑体"/>
          <w:color w:val="auto"/>
          <w:szCs w:val="21"/>
          <w:highlight w:val="none"/>
          <w:lang w:eastAsia="zh-CN"/>
        </w:rPr>
        <w:t>东莞松山湖高新技术产业开发区管理委员会财政国资金融局</w:t>
      </w:r>
      <w:r>
        <w:rPr>
          <w:rFonts w:hint="eastAsia" w:ascii="黑体" w:hAnsi="黑体" w:eastAsia="黑体"/>
          <w:color w:val="auto"/>
          <w:szCs w:val="21"/>
          <w:highlight w:val="none"/>
        </w:rPr>
        <w:t>”，不得以其他一般户接收资金再转入</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账户；</w:t>
      </w:r>
    </w:p>
    <w:p w14:paraId="08623A08">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为保障甲方财政资金安全，乙方承诺该存款账户不开通网上交易功能；</w:t>
      </w:r>
    </w:p>
    <w:p w14:paraId="5CDF6DC7">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未经甲方书面同意，乙方不得将甲方账户资金转出甲方其他账户使用，也不得利用账户资金新开设财政专户（实有账户）；</w:t>
      </w:r>
    </w:p>
    <w:p w14:paraId="10BEBAC5">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 xml:space="preserve">乙方根据甲方的转账指令划款，乙方须在收到甲方指令的一个工作日内无条件办理划款，不得无故拖延；确实因客观因素无法办理的应及时反馈甲方，并明确具体办理时间； </w:t>
      </w:r>
    </w:p>
    <w:p w14:paraId="6C185AC4">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乙方指定不少于1名熟悉业务的专人负责财政</w:t>
      </w:r>
      <w:r>
        <w:rPr>
          <w:rFonts w:hint="eastAsia" w:ascii="黑体" w:hAnsi="黑体" w:eastAsia="黑体"/>
          <w:color w:val="auto"/>
          <w:szCs w:val="21"/>
          <w:highlight w:val="none"/>
          <w:lang w:val="en-US" w:eastAsia="zh-CN"/>
        </w:rPr>
        <w:t>国资金融局</w:t>
      </w:r>
      <w:r>
        <w:rPr>
          <w:rFonts w:hint="eastAsia" w:ascii="黑体" w:hAnsi="黑体" w:eastAsia="黑体"/>
          <w:color w:val="auto"/>
          <w:szCs w:val="21"/>
          <w:highlight w:val="none"/>
        </w:rPr>
        <w:t>财政专户资金转出开户银行办理</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业务，提供上门对账、办理业务、核对信息等服务。甲方每笔金额在</w:t>
      </w:r>
      <w:r>
        <w:rPr>
          <w:rFonts w:hint="eastAsia" w:ascii="黑体" w:hAnsi="黑体" w:eastAsia="黑体"/>
          <w:color w:val="auto"/>
          <w:szCs w:val="21"/>
          <w:highlight w:val="none"/>
          <w:u w:val="single"/>
        </w:rPr>
        <w:t>人民币    万元（含）</w:t>
      </w:r>
      <w:r>
        <w:rPr>
          <w:rFonts w:hint="eastAsia" w:ascii="黑体" w:hAnsi="黑体" w:eastAsia="黑体"/>
          <w:color w:val="auto"/>
          <w:szCs w:val="21"/>
          <w:highlight w:val="none"/>
        </w:rPr>
        <w:t>以上且收款方账户名为“</w:t>
      </w:r>
      <w:r>
        <w:rPr>
          <w:rFonts w:hint="eastAsia" w:ascii="黑体" w:hAnsi="黑体" w:eastAsia="黑体"/>
          <w:color w:val="auto"/>
          <w:szCs w:val="21"/>
          <w:highlight w:val="none"/>
          <w:lang w:eastAsia="zh-CN"/>
        </w:rPr>
        <w:t>东莞松山湖高新技术产业开发区管理委员会财政国资金融局</w:t>
      </w:r>
      <w:r>
        <w:rPr>
          <w:rFonts w:hint="eastAsia" w:ascii="黑体" w:hAnsi="黑体" w:eastAsia="黑体"/>
          <w:color w:val="auto"/>
          <w:szCs w:val="21"/>
          <w:highlight w:val="none"/>
        </w:rPr>
        <w:t>” 的大额汇款业务，须由甲方授权指定工作人员</w:t>
      </w:r>
      <w:r>
        <w:rPr>
          <w:rFonts w:hint="eastAsia" w:ascii="黑体" w:hAnsi="黑体" w:eastAsia="黑体"/>
          <w:color w:val="auto"/>
          <w:szCs w:val="21"/>
          <w:highlight w:val="none"/>
          <w:u w:val="single"/>
        </w:rPr>
        <w:t xml:space="preserve">         （身份证号：                    ；联系电话：               ）</w:t>
      </w:r>
      <w:r>
        <w:rPr>
          <w:rFonts w:hint="eastAsia" w:ascii="黑体" w:hAnsi="黑体" w:eastAsia="黑体"/>
          <w:color w:val="auto"/>
          <w:szCs w:val="21"/>
          <w:highlight w:val="none"/>
        </w:rPr>
        <w:t>确认；乙方必须与上述工作人员电话核实后才按甲方指令操作。</w:t>
      </w:r>
    </w:p>
    <w:p w14:paraId="046D28B5">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乙方必须在每月前五个工作日将账户上月明细、业务回单、对账单等做账所需资料打印、整理并送至甲方指定联系人处，不得出现遗漏；</w:t>
      </w:r>
    </w:p>
    <w:p w14:paraId="0A883DDD">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乙方提供的银行回单上信息须有经办人、复核人、打印人等信息；办理的相关业务回单、对账单须盖银行业务章或电子业务章；如遇特殊情况补充的情况说明须盖公章和出具行长意见及行长签名；</w:t>
      </w:r>
    </w:p>
    <w:p w14:paraId="19BCF8BC">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乙方提供的对账单必须是流水账，不得用余额单代替，对账单、回单、情况说明、签名、盖章等有关文件中的信息须确保真实、完整、有效。</w:t>
      </w:r>
    </w:p>
    <w:p w14:paraId="5D619A00">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未经甲方审核及书面同意，乙方不能以任何理由挪用、转出该账户内任何资金。</w:t>
      </w:r>
    </w:p>
    <w:p w14:paraId="189C94CC">
      <w:pPr>
        <w:numPr>
          <w:ilvl w:val="0"/>
          <w:numId w:val="58"/>
        </w:numPr>
        <w:spacing w:line="360" w:lineRule="auto"/>
        <w:rPr>
          <w:rFonts w:ascii="黑体" w:hAnsi="黑体" w:eastAsia="黑体"/>
          <w:color w:val="auto"/>
          <w:szCs w:val="21"/>
          <w:highlight w:val="none"/>
        </w:rPr>
      </w:pP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存款到期后，资金存放银行按约定利率在到期日向财政</w:t>
      </w:r>
      <w:r>
        <w:rPr>
          <w:rFonts w:hint="eastAsia" w:ascii="黑体" w:hAnsi="黑体" w:eastAsia="黑体"/>
          <w:color w:val="auto"/>
          <w:szCs w:val="21"/>
          <w:highlight w:val="none"/>
          <w:lang w:val="en-US" w:eastAsia="zh-CN"/>
        </w:rPr>
        <w:t>国资金融局</w:t>
      </w:r>
      <w:r>
        <w:rPr>
          <w:rFonts w:hint="eastAsia" w:ascii="黑体" w:hAnsi="黑体" w:eastAsia="黑体"/>
          <w:color w:val="auto"/>
          <w:szCs w:val="21"/>
          <w:highlight w:val="none"/>
        </w:rPr>
        <w:t>一次性计付利息。</w:t>
      </w:r>
    </w:p>
    <w:p w14:paraId="51DC6308">
      <w:pPr>
        <w:numPr>
          <w:ilvl w:val="0"/>
          <w:numId w:val="55"/>
        </w:numPr>
        <w:spacing w:before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甲方的权利与义务</w:t>
      </w:r>
    </w:p>
    <w:p w14:paraId="069B4884">
      <w:pPr>
        <w:numPr>
          <w:ilvl w:val="0"/>
          <w:numId w:val="59"/>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及时通知乙方办理财政资金保值增值业务账户的开立、汇款及其他业务；</w:t>
      </w:r>
    </w:p>
    <w:p w14:paraId="357A1169">
      <w:pPr>
        <w:numPr>
          <w:ilvl w:val="0"/>
          <w:numId w:val="59"/>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有权随时对乙方的代理业务进行检查、指导，提出改进意见；</w:t>
      </w:r>
    </w:p>
    <w:p w14:paraId="0D146806">
      <w:pPr>
        <w:numPr>
          <w:ilvl w:val="0"/>
          <w:numId w:val="59"/>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妥善保管乙方提供的核算清单及相关文件；</w:t>
      </w:r>
    </w:p>
    <w:p w14:paraId="151CE09D">
      <w:pPr>
        <w:numPr>
          <w:ilvl w:val="0"/>
          <w:numId w:val="59"/>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应保证甲方相关审核人员联系方式的畅通，出现紧急情况时，便于乙方工作人员尽快向甲方反馈、核实。</w:t>
      </w:r>
    </w:p>
    <w:p w14:paraId="578D9152">
      <w:pPr>
        <w:numPr>
          <w:ilvl w:val="0"/>
          <w:numId w:val="55"/>
        </w:numPr>
        <w:spacing w:before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乙方的权利与义务</w:t>
      </w:r>
    </w:p>
    <w:p w14:paraId="511446B3">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根据甲方指令及时办理财政资金的划拨，并将办理情况或遇到的问题及时书面报告甲方；</w:t>
      </w:r>
    </w:p>
    <w:p w14:paraId="052B1B23">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不得将账户资金用作本协议书约定范围以外的任何操作，如购买理财产品等；</w:t>
      </w:r>
    </w:p>
    <w:p w14:paraId="3C2E2933">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乙方应适应甲方的需求，向甲方提供电子化等实时查询服务，供甲方查询当日及历史发生额明细情况；</w:t>
      </w:r>
    </w:p>
    <w:p w14:paraId="5D7B3DF5">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乙方应严格执行甲方指令，及时、安全、准确地办理财政资金业务，不得以本协议与乙方银行系统内部规定不符、系统升级等为由，拖延或拒绝办理；</w:t>
      </w:r>
    </w:p>
    <w:p w14:paraId="034F17C7">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乙方办理业务时，如发现可疑交易或甲方指令存疑等情况，应终止交易，并向甲方授权指定工作人员进行确认，如遇紧急情况，应直接与财政</w:t>
      </w:r>
      <w:r>
        <w:rPr>
          <w:rFonts w:hint="eastAsia" w:ascii="黑体" w:hAnsi="黑体" w:eastAsia="黑体"/>
          <w:color w:val="auto"/>
          <w:szCs w:val="21"/>
          <w:highlight w:val="none"/>
          <w:lang w:eastAsia="zh-CN"/>
        </w:rPr>
        <w:t>国资金融局</w:t>
      </w:r>
      <w:r>
        <w:rPr>
          <w:rFonts w:hint="eastAsia" w:ascii="黑体" w:hAnsi="黑体" w:eastAsia="黑体"/>
          <w:color w:val="auto"/>
          <w:szCs w:val="21"/>
          <w:highlight w:val="none"/>
        </w:rPr>
        <w:t>局长确认；</w:t>
      </w:r>
    </w:p>
    <w:p w14:paraId="21B51D20">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乙方应随时接受甲方的检查指导，确定专门机构、专职人员负责办理甲方财政资金账户管理业务，加强内控管理、规范操作，不断提高代理业务水平；</w:t>
      </w:r>
    </w:p>
    <w:p w14:paraId="7BCF95CD">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乙方对甲方账户的金额、交易往来等信息均负有保密义务，未经甲方书面同意，乙方不得以任何方式同授权人以外其他人员泄露相关信息；</w:t>
      </w:r>
    </w:p>
    <w:p w14:paraId="16C9B62C">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乙方应妥善保管甲方提供的所有文件资料。</w:t>
      </w:r>
    </w:p>
    <w:p w14:paraId="7E381A09">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如甲方因工作需要将该账户进行销户，乙方应无条件予以配合，并按甲方指令将账户上余额转到甲方指定的账户，不得以任何理由及内部规定不符、系统升级等为由，拖延或拒绝办理；</w:t>
      </w:r>
    </w:p>
    <w:p w14:paraId="4500EF88">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存款准备到期时，乙方需至少提前七个工作日通知甲方，甲方将根据资金使用计划情况确定是否办理续存，每笔</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存款续存期不超过原服务期限；需要收回使用的</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存款，则不再续存，乙方应在到期日将</w:t>
      </w:r>
      <w:r>
        <w:rPr>
          <w:rFonts w:hint="eastAsia" w:ascii="黑体" w:hAnsi="黑体" w:eastAsia="黑体"/>
          <w:color w:val="auto"/>
          <w:szCs w:val="21"/>
          <w:highlight w:val="none"/>
          <w:lang w:eastAsia="zh-CN"/>
        </w:rPr>
        <w:t>定期</w:t>
      </w:r>
      <w:r>
        <w:rPr>
          <w:rFonts w:hint="eastAsia" w:ascii="黑体" w:hAnsi="黑体" w:eastAsia="黑体"/>
          <w:color w:val="auto"/>
          <w:szCs w:val="21"/>
          <w:highlight w:val="none"/>
        </w:rPr>
        <w:t>存款及所有利息一次性转回财政资金原转出账户或指定账户，不得无故拖延或截留。</w:t>
      </w:r>
    </w:p>
    <w:p w14:paraId="2EE89902">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出具廉政承诺书，承诺：不向甲方相关负责人输送任何利益；不将资金存放与资金存放主体相关负责人员在本行亲属的业绩、收入挂钩。凡发现并经核实乙方未遵守廉政承诺内容的，甲方有权单方面收回资金，并予以通报。</w:t>
      </w:r>
    </w:p>
    <w:p w14:paraId="7BEF06C5">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乙方出现重大安全风险事件或经营状况恶化影响资金存放安全的，甲方有权单方面收回资金，乙方须按原约定</w:t>
      </w:r>
      <w:r>
        <w:rPr>
          <w:rFonts w:hint="eastAsia" w:ascii="黑体" w:hAnsi="黑体" w:eastAsia="黑体"/>
          <w:color w:val="auto"/>
          <w:szCs w:val="21"/>
          <w:highlight w:val="none"/>
          <w:lang w:eastAsia="zh-CN"/>
        </w:rPr>
        <w:t>定期存款</w:t>
      </w:r>
      <w:r>
        <w:rPr>
          <w:rFonts w:hint="eastAsia" w:ascii="黑体" w:hAnsi="黑体" w:eastAsia="黑体"/>
          <w:color w:val="auto"/>
          <w:szCs w:val="21"/>
          <w:highlight w:val="none"/>
        </w:rPr>
        <w:t>利率给予付息。</w:t>
      </w:r>
    </w:p>
    <w:p w14:paraId="5DB476C7">
      <w:pPr>
        <w:numPr>
          <w:ilvl w:val="0"/>
          <w:numId w:val="60"/>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乙方须自觉接受甲方年日常监督管理，保证财政资金安全。</w:t>
      </w:r>
    </w:p>
    <w:p w14:paraId="2C0F2FFB">
      <w:pPr>
        <w:numPr>
          <w:ilvl w:val="0"/>
          <w:numId w:val="55"/>
        </w:numPr>
        <w:spacing w:before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违约责任</w:t>
      </w:r>
    </w:p>
    <w:p w14:paraId="26C90EAF">
      <w:pPr>
        <w:numPr>
          <w:ilvl w:val="0"/>
          <w:numId w:val="61"/>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因乙方及乙方工作人员任何过错造成甲方账户财政资金损失的，由乙方全额赔偿甲方损失，并追究乙方相关负责人责任；</w:t>
      </w:r>
    </w:p>
    <w:p w14:paraId="7D7A4799">
      <w:pPr>
        <w:numPr>
          <w:ilvl w:val="0"/>
          <w:numId w:val="61"/>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 xml:space="preserve">乙方未按照甲方指令及本协议书约定办理转账业务，给甲方造成损失的，由乙方承担全部的经济责任； </w:t>
      </w:r>
    </w:p>
    <w:p w14:paraId="1FD8942C">
      <w:pPr>
        <w:numPr>
          <w:ilvl w:val="0"/>
          <w:numId w:val="61"/>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甲方和经甲方授权预算单位的工作人员如违反国家有关规定，由有关机关依法进行处理；</w:t>
      </w:r>
    </w:p>
    <w:p w14:paraId="2F8131BE">
      <w:pPr>
        <w:numPr>
          <w:ilvl w:val="0"/>
          <w:numId w:val="61"/>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因乙方工作失误造成甲方账户财政资金延迟、错划、误划、漏划或者超授权额度支付资金，给甲方造成损失的，由乙方承担全部赔偿责任；乙方工作人员如违反国家有关规定，由有关机关依法进行处理；</w:t>
      </w:r>
    </w:p>
    <w:p w14:paraId="70C0EE9B">
      <w:pPr>
        <w:numPr>
          <w:ilvl w:val="0"/>
          <w:numId w:val="61"/>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如乙方存在前述违约行为，甲方除责成乙方纠正并赔偿经济损失外，还可单方面提前取消乙方的财政资金所有业务的代理资格；人为造成的，还应对直接负责的主管人员和其他直接责任人向有关部门提出给予行政处分或纪律处分建议，构成犯罪的，依法追究刑事责任；</w:t>
      </w:r>
    </w:p>
    <w:p w14:paraId="0D2B25CC">
      <w:pPr>
        <w:numPr>
          <w:ilvl w:val="0"/>
          <w:numId w:val="61"/>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因不可抗力不能履行合同的，根据不可抗力的影响，部分或者全部免除责任，但法律另有规定的除外；当事人迟延履行后发生不可抗力的，不能免除责任；</w:t>
      </w:r>
    </w:p>
    <w:p w14:paraId="61728278">
      <w:pPr>
        <w:numPr>
          <w:ilvl w:val="0"/>
          <w:numId w:val="61"/>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本协议所称不可抗力，是指不能预见、不能避免并不能克服的客观情况。</w:t>
      </w:r>
    </w:p>
    <w:p w14:paraId="1C319223">
      <w:pPr>
        <w:numPr>
          <w:ilvl w:val="0"/>
          <w:numId w:val="55"/>
        </w:numPr>
        <w:spacing w:before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协议生效</w:t>
      </w:r>
    </w:p>
    <w:p w14:paraId="0F017739">
      <w:pPr>
        <w:numPr>
          <w:ilvl w:val="0"/>
          <w:numId w:val="62"/>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本协议自双方法定(负责人)代表人或授权代表人签字并加盖公章之日起生效，合同期限为自合同生效之日起一年止；</w:t>
      </w:r>
    </w:p>
    <w:p w14:paraId="2363D309">
      <w:pPr>
        <w:numPr>
          <w:ilvl w:val="0"/>
          <w:numId w:val="62"/>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如乙方存在本协议约定的违约行为，甲方可单方面提前解除本协议。</w:t>
      </w:r>
    </w:p>
    <w:p w14:paraId="5452EE6B">
      <w:pPr>
        <w:numPr>
          <w:ilvl w:val="0"/>
          <w:numId w:val="55"/>
        </w:numPr>
        <w:spacing w:before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协议变更和终止</w:t>
      </w:r>
    </w:p>
    <w:p w14:paraId="0CF6757C">
      <w:pPr>
        <w:numPr>
          <w:ilvl w:val="0"/>
          <w:numId w:val="63"/>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本协议在执行期内双方不得擅自变更或终止；</w:t>
      </w:r>
    </w:p>
    <w:p w14:paraId="7266DFD3">
      <w:pPr>
        <w:numPr>
          <w:ilvl w:val="0"/>
          <w:numId w:val="63"/>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协议履行期间，如遇与协议生效后颁布的有关政策、法律、规定不符的，甲乙双方须协商一致并达成书面协议后，方可变更或终止；未达成书面协议前，本协议依然有效；</w:t>
      </w:r>
    </w:p>
    <w:p w14:paraId="24A0DA4B">
      <w:pPr>
        <w:numPr>
          <w:ilvl w:val="0"/>
          <w:numId w:val="63"/>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本协议终止后，甲乙双方应对委托代理期间发生的应尽未尽委托代理事项负责结清，有关保密信息的条款对双方仍继续有效；</w:t>
      </w:r>
    </w:p>
    <w:p w14:paraId="4ACF54A2">
      <w:pPr>
        <w:numPr>
          <w:ilvl w:val="0"/>
          <w:numId w:val="63"/>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甲乙双方如遇纠纷，应本着相互信任的原则，共同协商解决；</w:t>
      </w:r>
    </w:p>
    <w:p w14:paraId="20A64AD8">
      <w:pPr>
        <w:numPr>
          <w:ilvl w:val="0"/>
          <w:numId w:val="63"/>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本合同内容应包括本项目招标文件及其澄清文件、中标人投标文件等内容，视为合同的一部分。</w:t>
      </w:r>
    </w:p>
    <w:p w14:paraId="40DFA53C">
      <w:pPr>
        <w:numPr>
          <w:ilvl w:val="0"/>
          <w:numId w:val="63"/>
        </w:numPr>
        <w:spacing w:line="360" w:lineRule="auto"/>
        <w:rPr>
          <w:rFonts w:ascii="黑体" w:hAnsi="黑体" w:eastAsia="黑体"/>
          <w:color w:val="auto"/>
          <w:szCs w:val="21"/>
          <w:highlight w:val="none"/>
        </w:rPr>
      </w:pPr>
      <w:r>
        <w:rPr>
          <w:rFonts w:hint="eastAsia" w:ascii="黑体" w:hAnsi="黑体" w:eastAsia="黑体"/>
          <w:color w:val="auto"/>
          <w:szCs w:val="21"/>
          <w:highlight w:val="none"/>
        </w:rPr>
        <w:t>本协议一式贰份，甲乙双方各执一份，具有同等法律效力。</w:t>
      </w:r>
    </w:p>
    <w:p w14:paraId="6DF43F8F">
      <w:pPr>
        <w:spacing w:line="360" w:lineRule="auto"/>
        <w:rPr>
          <w:rFonts w:ascii="黑体" w:hAnsi="黑体" w:eastAsia="黑体"/>
          <w:color w:val="auto"/>
          <w:szCs w:val="21"/>
          <w:highlight w:val="none"/>
        </w:rPr>
      </w:pPr>
    </w:p>
    <w:p w14:paraId="4F181942">
      <w:pPr>
        <w:spacing w:line="360" w:lineRule="auto"/>
        <w:rPr>
          <w:rFonts w:ascii="黑体" w:hAnsi="黑体" w:eastAsia="黑体"/>
          <w:color w:val="auto"/>
          <w:szCs w:val="21"/>
          <w:highlight w:val="none"/>
        </w:rPr>
      </w:pPr>
    </w:p>
    <w:p w14:paraId="2913DCBD">
      <w:pPr>
        <w:pStyle w:val="6"/>
        <w:rPr>
          <w:rFonts w:ascii="黑体" w:hAnsi="黑体" w:eastAsia="黑体"/>
          <w:color w:val="auto"/>
          <w:szCs w:val="21"/>
          <w:highlight w:val="none"/>
        </w:rPr>
      </w:pPr>
    </w:p>
    <w:p w14:paraId="42A8D9AF">
      <w:pPr>
        <w:pStyle w:val="6"/>
        <w:rPr>
          <w:rFonts w:ascii="黑体" w:hAnsi="黑体" w:eastAsia="黑体"/>
          <w:color w:val="auto"/>
          <w:szCs w:val="21"/>
          <w:highlight w:val="none"/>
        </w:rPr>
      </w:pPr>
    </w:p>
    <w:p w14:paraId="22A3C96E">
      <w:pPr>
        <w:pStyle w:val="6"/>
        <w:rPr>
          <w:rFonts w:ascii="黑体" w:hAnsi="黑体" w:eastAsia="黑体"/>
          <w:color w:val="auto"/>
          <w:szCs w:val="21"/>
          <w:highlight w:val="none"/>
        </w:rPr>
      </w:pPr>
    </w:p>
    <w:p w14:paraId="65BD8420">
      <w:pPr>
        <w:pStyle w:val="6"/>
        <w:rPr>
          <w:rFonts w:ascii="黑体" w:hAnsi="黑体" w:eastAsia="黑体"/>
          <w:color w:val="auto"/>
          <w:szCs w:val="21"/>
          <w:highlight w:val="none"/>
        </w:rPr>
      </w:pPr>
    </w:p>
    <w:p w14:paraId="741DCE16">
      <w:pPr>
        <w:pStyle w:val="6"/>
        <w:rPr>
          <w:rFonts w:ascii="黑体" w:hAnsi="黑体" w:eastAsia="黑体"/>
          <w:color w:val="auto"/>
          <w:szCs w:val="21"/>
          <w:highlight w:val="none"/>
        </w:rPr>
      </w:pPr>
    </w:p>
    <w:p w14:paraId="59C8A68E">
      <w:pPr>
        <w:pStyle w:val="6"/>
        <w:rPr>
          <w:rFonts w:ascii="黑体" w:hAnsi="黑体" w:eastAsia="黑体"/>
          <w:color w:val="auto"/>
          <w:szCs w:val="21"/>
          <w:highlight w:val="none"/>
        </w:rPr>
      </w:pPr>
    </w:p>
    <w:p w14:paraId="2DFBFF72">
      <w:pPr>
        <w:pStyle w:val="6"/>
        <w:rPr>
          <w:rFonts w:ascii="黑体" w:hAnsi="黑体" w:eastAsia="黑体"/>
          <w:color w:val="auto"/>
          <w:szCs w:val="21"/>
          <w:highlight w:val="none"/>
        </w:rPr>
      </w:pPr>
    </w:p>
    <w:p w14:paraId="0B1ED873">
      <w:pPr>
        <w:pStyle w:val="6"/>
        <w:rPr>
          <w:rFonts w:ascii="黑体" w:hAnsi="黑体" w:eastAsia="黑体"/>
          <w:color w:val="auto"/>
          <w:szCs w:val="21"/>
          <w:highlight w:val="none"/>
        </w:rPr>
      </w:pPr>
    </w:p>
    <w:p w14:paraId="3DF35E90">
      <w:pPr>
        <w:pStyle w:val="6"/>
        <w:rPr>
          <w:rFonts w:ascii="黑体" w:hAnsi="黑体" w:eastAsia="黑体"/>
          <w:color w:val="auto"/>
          <w:szCs w:val="21"/>
          <w:highlight w:val="none"/>
        </w:rPr>
      </w:pPr>
    </w:p>
    <w:p w14:paraId="4E162594">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(以下无正文）</w:t>
      </w:r>
    </w:p>
    <w:p w14:paraId="00D87FE7">
      <w:pPr>
        <w:spacing w:line="360" w:lineRule="auto"/>
        <w:rPr>
          <w:rFonts w:ascii="黑体" w:hAnsi="黑体" w:eastAsia="黑体"/>
          <w:color w:val="auto"/>
          <w:szCs w:val="21"/>
          <w:highlight w:val="none"/>
        </w:rPr>
      </w:pPr>
    </w:p>
    <w:p w14:paraId="12996529">
      <w:pPr>
        <w:spacing w:line="360" w:lineRule="auto"/>
        <w:rPr>
          <w:rFonts w:ascii="黑体" w:hAnsi="黑体" w:eastAsia="黑体"/>
          <w:color w:val="auto"/>
          <w:szCs w:val="21"/>
          <w:highlight w:val="none"/>
        </w:rPr>
      </w:pPr>
    </w:p>
    <w:p w14:paraId="6187E6ED">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甲方：    （公章）                       乙方：    （公章）</w:t>
      </w:r>
    </w:p>
    <w:p w14:paraId="474A7149">
      <w:pPr>
        <w:spacing w:line="360" w:lineRule="auto"/>
        <w:rPr>
          <w:rFonts w:ascii="黑体" w:hAnsi="黑体" w:eastAsia="黑体"/>
          <w:color w:val="auto"/>
          <w:szCs w:val="21"/>
          <w:highlight w:val="none"/>
        </w:rPr>
      </w:pPr>
    </w:p>
    <w:p w14:paraId="1485265F">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法定(负责人)代表人或                     法定(负责人)代表人或</w:t>
      </w:r>
    </w:p>
    <w:p w14:paraId="367EAE82">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授权代表人签字：                         授权代表人签字：</w:t>
      </w:r>
    </w:p>
    <w:p w14:paraId="3374E7E8">
      <w:pPr>
        <w:spacing w:line="360" w:lineRule="auto"/>
        <w:ind w:firstLine="630" w:firstLineChars="300"/>
        <w:rPr>
          <w:rFonts w:ascii="黑体" w:hAnsi="黑体" w:eastAsia="黑体"/>
          <w:color w:val="auto"/>
          <w:szCs w:val="21"/>
          <w:highlight w:val="none"/>
        </w:rPr>
      </w:pPr>
      <w:r>
        <w:rPr>
          <w:rFonts w:hint="eastAsia" w:ascii="黑体" w:hAnsi="黑体" w:eastAsia="黑体"/>
          <w:color w:val="auto"/>
          <w:szCs w:val="21"/>
          <w:highlight w:val="none"/>
        </w:rPr>
        <w:t xml:space="preserve">年  月   日                              年   月   日       </w:t>
      </w:r>
    </w:p>
    <w:p w14:paraId="72F10CFA">
      <w:pPr>
        <w:spacing w:line="360" w:lineRule="auto"/>
        <w:rPr>
          <w:rFonts w:ascii="黑体" w:hAnsi="黑体" w:eastAsia="黑体"/>
          <w:color w:val="auto"/>
          <w:szCs w:val="21"/>
          <w:highlight w:val="none"/>
        </w:rPr>
      </w:pPr>
    </w:p>
    <w:p w14:paraId="2ED32305">
      <w:pPr>
        <w:spacing w:line="360" w:lineRule="auto"/>
        <w:rPr>
          <w:rFonts w:ascii="黑体" w:hAnsi="黑体" w:eastAsia="黑体"/>
          <w:color w:val="auto"/>
          <w:szCs w:val="21"/>
          <w:highlight w:val="none"/>
        </w:rPr>
      </w:pPr>
    </w:p>
    <w:p w14:paraId="0A96DB38">
      <w:pPr>
        <w:spacing w:line="360" w:lineRule="auto"/>
        <w:rPr>
          <w:rFonts w:ascii="黑体" w:hAnsi="黑体" w:eastAsia="黑体"/>
          <w:color w:val="auto"/>
          <w:szCs w:val="21"/>
          <w:highlight w:val="none"/>
        </w:rPr>
      </w:pPr>
    </w:p>
    <w:p w14:paraId="7C6F696B">
      <w:pPr>
        <w:pStyle w:val="2"/>
        <w:pageBreakBefore/>
        <w:spacing w:line="360" w:lineRule="auto"/>
        <w:jc w:val="center"/>
        <w:rPr>
          <w:rFonts w:ascii="黑体" w:hAnsi="黑体" w:eastAsia="黑体"/>
          <w:color w:val="auto"/>
          <w:spacing w:val="20"/>
          <w:sz w:val="32"/>
          <w:szCs w:val="32"/>
          <w:highlight w:val="none"/>
        </w:rPr>
      </w:pPr>
      <w:bookmarkStart w:id="31" w:name="_Toc391627753"/>
      <w:bookmarkStart w:id="32" w:name="_Toc405313957"/>
      <w:bookmarkStart w:id="33" w:name="_Toc23715271"/>
      <w:r>
        <w:rPr>
          <w:rFonts w:hint="eastAsia" w:ascii="黑体" w:hAnsi="黑体" w:eastAsia="黑体"/>
          <w:color w:val="auto"/>
          <w:spacing w:val="20"/>
          <w:sz w:val="32"/>
          <w:szCs w:val="32"/>
          <w:highlight w:val="none"/>
        </w:rPr>
        <w:t>第七部分 投标文件格式</w:t>
      </w:r>
      <w:bookmarkEnd w:id="31"/>
      <w:bookmarkEnd w:id="32"/>
      <w:bookmarkEnd w:id="33"/>
    </w:p>
    <w:p w14:paraId="625E68EF">
      <w:pPr>
        <w:pStyle w:val="32"/>
        <w:numPr>
          <w:ilvl w:val="0"/>
          <w:numId w:val="64"/>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商务技术文件格式</w:t>
      </w:r>
    </w:p>
    <w:p w14:paraId="2005AE0B">
      <w:pPr>
        <w:spacing w:line="360" w:lineRule="auto"/>
        <w:ind w:right="105"/>
        <w:jc w:val="right"/>
        <w:rPr>
          <w:rFonts w:ascii="黑体" w:hAnsi="黑体" w:eastAsia="黑体"/>
          <w:b/>
          <w:color w:val="auto"/>
          <w:szCs w:val="21"/>
          <w:highlight w:val="none"/>
        </w:rPr>
      </w:pPr>
      <w:r>
        <w:rPr>
          <w:rFonts w:hint="eastAsia" w:ascii="黑体" w:hAnsi="黑体" w:eastAsia="黑体"/>
          <w:b/>
          <w:color w:val="auto"/>
          <w:szCs w:val="21"/>
          <w:highlight w:val="none"/>
        </w:rPr>
        <w:t>正本/副本</w:t>
      </w:r>
    </w:p>
    <w:p w14:paraId="3F99E2DB">
      <w:pPr>
        <w:spacing w:line="360" w:lineRule="auto"/>
        <w:ind w:right="105"/>
        <w:jc w:val="right"/>
        <w:rPr>
          <w:rFonts w:ascii="黑体" w:hAnsi="黑体" w:eastAsia="黑体"/>
          <w:b/>
          <w:color w:val="auto"/>
          <w:szCs w:val="21"/>
          <w:highlight w:val="none"/>
        </w:rPr>
      </w:pPr>
    </w:p>
    <w:p w14:paraId="3CB50A2C">
      <w:pPr>
        <w:spacing w:line="360" w:lineRule="auto"/>
        <w:jc w:val="center"/>
        <w:rPr>
          <w:rFonts w:hint="eastAsia" w:ascii="黑体" w:hAnsi="黑体" w:eastAsia="黑体"/>
          <w:bCs/>
          <w:color w:val="auto"/>
          <w:sz w:val="52"/>
          <w:szCs w:val="52"/>
          <w:highlight w:val="none"/>
        </w:rPr>
      </w:pPr>
      <w:r>
        <w:rPr>
          <w:rFonts w:hint="eastAsia" w:ascii="黑体" w:hAnsi="黑体" w:eastAsia="黑体"/>
          <w:bCs/>
          <w:color w:val="auto"/>
          <w:sz w:val="52"/>
          <w:szCs w:val="52"/>
          <w:highlight w:val="none"/>
        </w:rPr>
        <w:t>财政资金保值增值项目</w:t>
      </w:r>
    </w:p>
    <w:p w14:paraId="2DA9C339">
      <w:pPr>
        <w:spacing w:line="360" w:lineRule="auto"/>
        <w:jc w:val="center"/>
        <w:rPr>
          <w:rFonts w:ascii="黑体" w:hAnsi="黑体" w:eastAsia="黑体"/>
          <w:b/>
          <w:color w:val="auto"/>
          <w:szCs w:val="21"/>
          <w:highlight w:val="none"/>
        </w:rPr>
      </w:pPr>
      <w:r>
        <w:rPr>
          <w:rFonts w:hint="eastAsia" w:ascii="黑体" w:hAnsi="黑体" w:eastAsia="黑体"/>
          <w:b/>
          <w:color w:val="auto"/>
          <w:szCs w:val="21"/>
          <w:highlight w:val="none"/>
        </w:rPr>
        <w:t>（项目编号：</w:t>
      </w:r>
      <w:r>
        <w:rPr>
          <w:rFonts w:hint="eastAsia" w:ascii="黑体" w:hAnsi="黑体" w:eastAsia="黑体"/>
          <w:b/>
          <w:color w:val="auto"/>
          <w:szCs w:val="21"/>
          <w:highlight w:val="none"/>
          <w:u w:val="single"/>
        </w:rPr>
        <w:t xml:space="preserve">             </w:t>
      </w:r>
      <w:r>
        <w:rPr>
          <w:rFonts w:hint="eastAsia" w:ascii="黑体" w:hAnsi="黑体" w:eastAsia="黑体"/>
          <w:b/>
          <w:color w:val="auto"/>
          <w:szCs w:val="21"/>
          <w:highlight w:val="none"/>
        </w:rPr>
        <w:t>）</w:t>
      </w:r>
    </w:p>
    <w:p w14:paraId="7FDC1777">
      <w:pPr>
        <w:spacing w:beforeLines="500" w:afterLines="100" w:line="360" w:lineRule="auto"/>
        <w:jc w:val="center"/>
        <w:rPr>
          <w:rFonts w:ascii="黑体" w:hAnsi="黑体" w:eastAsia="黑体"/>
          <w:b/>
          <w:color w:val="auto"/>
          <w:spacing w:val="60"/>
          <w:sz w:val="72"/>
          <w:szCs w:val="72"/>
          <w:highlight w:val="none"/>
        </w:rPr>
      </w:pPr>
      <w:r>
        <w:rPr>
          <w:rFonts w:hint="eastAsia" w:ascii="黑体" w:hAnsi="黑体" w:eastAsia="黑体"/>
          <w:b/>
          <w:color w:val="auto"/>
          <w:spacing w:val="60"/>
          <w:sz w:val="72"/>
          <w:szCs w:val="72"/>
          <w:highlight w:val="none"/>
        </w:rPr>
        <w:t>商务技术文件</w:t>
      </w:r>
    </w:p>
    <w:p w14:paraId="266E078F">
      <w:pPr>
        <w:spacing w:afterLines="800" w:line="360" w:lineRule="auto"/>
        <w:jc w:val="center"/>
        <w:rPr>
          <w:rFonts w:ascii="黑体" w:hAnsi="黑体" w:eastAsia="黑体"/>
          <w:b/>
          <w:color w:val="auto"/>
          <w:szCs w:val="21"/>
          <w:highlight w:val="none"/>
        </w:rPr>
      </w:pPr>
      <w:r>
        <w:rPr>
          <w:rFonts w:hint="eastAsia" w:ascii="黑体" w:hAnsi="黑体" w:eastAsia="黑体"/>
          <w:b/>
          <w:color w:val="auto"/>
          <w:szCs w:val="21"/>
          <w:highlight w:val="none"/>
        </w:rPr>
        <w:t>（封面格式仅供参考）</w:t>
      </w:r>
    </w:p>
    <w:tbl>
      <w:tblPr>
        <w:tblStyle w:val="20"/>
        <w:tblW w:w="71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28"/>
        <w:gridCol w:w="5108"/>
      </w:tblGrid>
      <w:tr w14:paraId="73B05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2028" w:type="dxa"/>
            <w:vAlign w:val="center"/>
          </w:tcPr>
          <w:p w14:paraId="5E414EFF">
            <w:pPr>
              <w:spacing w:line="360" w:lineRule="auto"/>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投标单位全称：</w:t>
            </w:r>
          </w:p>
        </w:tc>
        <w:tc>
          <w:tcPr>
            <w:tcW w:w="5108" w:type="dxa"/>
            <w:vAlign w:val="center"/>
          </w:tcPr>
          <w:p w14:paraId="1DAA7F6A">
            <w:pPr>
              <w:spacing w:line="360" w:lineRule="auto"/>
              <w:jc w:val="left"/>
              <w:rPr>
                <w:rFonts w:ascii="黑体" w:hAnsi="黑体" w:eastAsia="黑体"/>
                <w:color w:val="auto"/>
                <w:sz w:val="24"/>
                <w:szCs w:val="24"/>
                <w:highlight w:val="none"/>
                <w:u w:val="single"/>
              </w:rPr>
            </w:pPr>
            <w:r>
              <w:rPr>
                <w:rFonts w:hint="eastAsia" w:ascii="黑体" w:hAnsi="黑体" w:eastAsia="黑体"/>
                <w:color w:val="auto"/>
                <w:sz w:val="24"/>
                <w:szCs w:val="24"/>
                <w:highlight w:val="none"/>
                <w:u w:val="single"/>
              </w:rPr>
              <w:t xml:space="preserve">                                       </w:t>
            </w:r>
          </w:p>
        </w:tc>
      </w:tr>
      <w:tr w14:paraId="5ADA9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2028" w:type="dxa"/>
            <w:vAlign w:val="center"/>
          </w:tcPr>
          <w:p w14:paraId="03F12416">
            <w:pPr>
              <w:spacing w:line="360" w:lineRule="auto"/>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投标单位地址：</w:t>
            </w:r>
          </w:p>
        </w:tc>
        <w:tc>
          <w:tcPr>
            <w:tcW w:w="5108" w:type="dxa"/>
            <w:vAlign w:val="center"/>
          </w:tcPr>
          <w:p w14:paraId="32911D87">
            <w:pPr>
              <w:spacing w:line="360" w:lineRule="auto"/>
              <w:jc w:val="left"/>
              <w:rPr>
                <w:rFonts w:ascii="黑体" w:hAnsi="黑体" w:eastAsia="黑体"/>
                <w:color w:val="auto"/>
                <w:sz w:val="24"/>
                <w:szCs w:val="24"/>
                <w:highlight w:val="none"/>
                <w:u w:val="single"/>
              </w:rPr>
            </w:pPr>
            <w:r>
              <w:rPr>
                <w:rFonts w:hint="eastAsia" w:ascii="黑体" w:hAnsi="黑体" w:eastAsia="黑体"/>
                <w:color w:val="auto"/>
                <w:sz w:val="24"/>
                <w:szCs w:val="24"/>
                <w:highlight w:val="none"/>
                <w:u w:val="single"/>
              </w:rPr>
              <w:t xml:space="preserve">                                       </w:t>
            </w:r>
          </w:p>
        </w:tc>
      </w:tr>
      <w:tr w14:paraId="6E67F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2028" w:type="dxa"/>
            <w:vAlign w:val="center"/>
          </w:tcPr>
          <w:p w14:paraId="6346C053">
            <w:pPr>
              <w:spacing w:line="360" w:lineRule="auto"/>
              <w:jc w:val="center"/>
              <w:rPr>
                <w:rFonts w:ascii="黑体" w:hAnsi="黑体" w:eastAsia="黑体"/>
                <w:color w:val="auto"/>
                <w:spacing w:val="-10"/>
                <w:sz w:val="24"/>
                <w:szCs w:val="24"/>
                <w:highlight w:val="none"/>
              </w:rPr>
            </w:pPr>
            <w:r>
              <w:rPr>
                <w:rFonts w:hint="eastAsia" w:ascii="黑体" w:hAnsi="黑体" w:eastAsia="黑体"/>
                <w:color w:val="auto"/>
                <w:spacing w:val="-10"/>
                <w:sz w:val="24"/>
                <w:szCs w:val="24"/>
                <w:highlight w:val="none"/>
              </w:rPr>
              <w:t>投标单位联系人：</w:t>
            </w:r>
          </w:p>
        </w:tc>
        <w:tc>
          <w:tcPr>
            <w:tcW w:w="5108" w:type="dxa"/>
            <w:vAlign w:val="center"/>
          </w:tcPr>
          <w:p w14:paraId="7C3A16F7">
            <w:pPr>
              <w:spacing w:line="360" w:lineRule="auto"/>
              <w:jc w:val="left"/>
              <w:rPr>
                <w:rFonts w:ascii="黑体" w:hAnsi="黑体" w:eastAsia="黑体"/>
                <w:color w:val="auto"/>
                <w:sz w:val="24"/>
                <w:szCs w:val="24"/>
                <w:highlight w:val="none"/>
                <w:u w:val="single"/>
              </w:rPr>
            </w:pPr>
            <w:r>
              <w:rPr>
                <w:rFonts w:hint="eastAsia" w:ascii="黑体" w:hAnsi="黑体" w:eastAsia="黑体"/>
                <w:color w:val="auto"/>
                <w:sz w:val="24"/>
                <w:szCs w:val="24"/>
                <w:highlight w:val="none"/>
                <w:u w:val="single"/>
              </w:rPr>
              <w:t xml:space="preserve">                                       </w:t>
            </w:r>
          </w:p>
        </w:tc>
      </w:tr>
      <w:tr w14:paraId="70F35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2028" w:type="dxa"/>
            <w:vAlign w:val="center"/>
          </w:tcPr>
          <w:p w14:paraId="4B684E8E">
            <w:pPr>
              <w:spacing w:line="360" w:lineRule="auto"/>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投标单位固话：</w:t>
            </w:r>
          </w:p>
        </w:tc>
        <w:tc>
          <w:tcPr>
            <w:tcW w:w="5108" w:type="dxa"/>
            <w:vAlign w:val="center"/>
          </w:tcPr>
          <w:p w14:paraId="04D52FCC">
            <w:pPr>
              <w:spacing w:line="360" w:lineRule="auto"/>
              <w:jc w:val="left"/>
              <w:rPr>
                <w:rFonts w:ascii="黑体" w:hAnsi="黑体" w:eastAsia="黑体"/>
                <w:color w:val="auto"/>
                <w:sz w:val="24"/>
                <w:szCs w:val="24"/>
                <w:highlight w:val="none"/>
                <w:u w:val="single"/>
              </w:rPr>
            </w:pPr>
            <w:r>
              <w:rPr>
                <w:rFonts w:hint="eastAsia" w:ascii="黑体" w:hAnsi="黑体" w:eastAsia="黑体"/>
                <w:color w:val="auto"/>
                <w:sz w:val="24"/>
                <w:szCs w:val="24"/>
                <w:highlight w:val="none"/>
                <w:u w:val="single"/>
              </w:rPr>
              <w:t xml:space="preserve">                                       </w:t>
            </w:r>
          </w:p>
        </w:tc>
      </w:tr>
      <w:tr w14:paraId="0DC9B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028" w:type="dxa"/>
            <w:vAlign w:val="center"/>
          </w:tcPr>
          <w:p w14:paraId="4185B09A">
            <w:pPr>
              <w:spacing w:line="360" w:lineRule="auto"/>
              <w:jc w:val="center"/>
              <w:rPr>
                <w:rFonts w:ascii="黑体" w:hAnsi="黑体" w:eastAsia="黑体"/>
                <w:color w:val="auto"/>
                <w:sz w:val="24"/>
                <w:szCs w:val="24"/>
                <w:highlight w:val="none"/>
              </w:rPr>
            </w:pPr>
            <w:r>
              <w:rPr>
                <w:rFonts w:hint="eastAsia" w:ascii="黑体" w:hAnsi="黑体" w:eastAsia="黑体"/>
                <w:color w:val="auto"/>
                <w:sz w:val="24"/>
                <w:szCs w:val="24"/>
                <w:highlight w:val="none"/>
              </w:rPr>
              <w:t>投标单位传真：</w:t>
            </w:r>
          </w:p>
        </w:tc>
        <w:tc>
          <w:tcPr>
            <w:tcW w:w="5108" w:type="dxa"/>
            <w:vAlign w:val="center"/>
          </w:tcPr>
          <w:p w14:paraId="73C368E0">
            <w:pPr>
              <w:spacing w:line="360" w:lineRule="auto"/>
              <w:jc w:val="left"/>
              <w:rPr>
                <w:rFonts w:ascii="黑体" w:hAnsi="黑体" w:eastAsia="黑体"/>
                <w:color w:val="auto"/>
                <w:sz w:val="24"/>
                <w:szCs w:val="24"/>
                <w:highlight w:val="none"/>
                <w:u w:val="single"/>
              </w:rPr>
            </w:pPr>
            <w:r>
              <w:rPr>
                <w:rFonts w:hint="eastAsia" w:ascii="黑体" w:hAnsi="黑体" w:eastAsia="黑体"/>
                <w:color w:val="auto"/>
                <w:sz w:val="24"/>
                <w:szCs w:val="24"/>
                <w:highlight w:val="none"/>
                <w:u w:val="single"/>
              </w:rPr>
              <w:t xml:space="preserve">                                       </w:t>
            </w:r>
          </w:p>
        </w:tc>
      </w:tr>
    </w:tbl>
    <w:p w14:paraId="1E0E1371">
      <w:pPr>
        <w:spacing w:line="360" w:lineRule="auto"/>
        <w:rPr>
          <w:rFonts w:ascii="黑体" w:hAnsi="黑体" w:eastAsia="黑体"/>
          <w:color w:val="auto"/>
          <w:szCs w:val="21"/>
          <w:highlight w:val="none"/>
        </w:rPr>
      </w:pPr>
    </w:p>
    <w:p w14:paraId="3E5C52C1">
      <w:pPr>
        <w:spacing w:beforeLines="100" w:line="600" w:lineRule="exact"/>
        <w:jc w:val="center"/>
        <w:rPr>
          <w:rFonts w:ascii="黑体" w:hAnsi="黑体" w:eastAsia="黑体"/>
          <w:b/>
          <w:bCs/>
          <w:color w:val="auto"/>
          <w:spacing w:val="40"/>
          <w:sz w:val="24"/>
          <w:szCs w:val="24"/>
          <w:highlight w:val="none"/>
        </w:rPr>
      </w:pPr>
      <w:r>
        <w:rPr>
          <w:rFonts w:hint="eastAsia" w:ascii="黑体" w:hAnsi="黑体" w:eastAsia="黑体"/>
          <w:b/>
          <w:color w:val="auto"/>
          <w:spacing w:val="40"/>
          <w:sz w:val="24"/>
          <w:szCs w:val="24"/>
          <w:highlight w:val="none"/>
        </w:rPr>
        <w:t>日期：</w:t>
      </w:r>
      <w:r>
        <w:rPr>
          <w:rFonts w:hint="eastAsia" w:ascii="黑体" w:hAnsi="黑体" w:eastAsia="黑体"/>
          <w:b/>
          <w:color w:val="auto"/>
          <w:spacing w:val="40"/>
          <w:sz w:val="24"/>
          <w:szCs w:val="24"/>
          <w:highlight w:val="none"/>
          <w:lang w:eastAsia="zh-CN"/>
        </w:rPr>
        <w:t>二零二六</w:t>
      </w:r>
      <w:r>
        <w:rPr>
          <w:rFonts w:hint="eastAsia" w:ascii="黑体" w:hAnsi="黑体" w:eastAsia="黑体"/>
          <w:b/>
          <w:color w:val="auto"/>
          <w:spacing w:val="40"/>
          <w:sz w:val="24"/>
          <w:szCs w:val="24"/>
          <w:highlight w:val="none"/>
        </w:rPr>
        <w:t>年  月  日</w:t>
      </w:r>
    </w:p>
    <w:p w14:paraId="2730A8BA">
      <w:pPr>
        <w:pStyle w:val="34"/>
        <w:pageBreakBefore/>
        <w:spacing w:beforeLines="100" w:line="360" w:lineRule="auto"/>
        <w:ind w:firstLine="0" w:firstLineChars="0"/>
        <w:rPr>
          <w:rFonts w:ascii="黑体" w:hAnsi="黑体" w:eastAsia="黑体"/>
          <w:b/>
          <w:color w:val="auto"/>
          <w:sz w:val="21"/>
          <w:szCs w:val="21"/>
          <w:highlight w:val="none"/>
        </w:rPr>
      </w:pPr>
      <w:r>
        <w:rPr>
          <w:rFonts w:hint="eastAsia" w:ascii="黑体" w:hAnsi="黑体" w:eastAsia="黑体"/>
          <w:b/>
          <w:color w:val="auto"/>
          <w:sz w:val="21"/>
          <w:szCs w:val="21"/>
          <w:highlight w:val="none"/>
        </w:rPr>
        <w:t xml:space="preserve">第一章 商务文件 </w:t>
      </w:r>
    </w:p>
    <w:p w14:paraId="3598A20E">
      <w:pPr>
        <w:pStyle w:val="34"/>
        <w:numPr>
          <w:ilvl w:val="0"/>
          <w:numId w:val="65"/>
        </w:numPr>
        <w:spacing w:line="460" w:lineRule="exact"/>
        <w:ind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投标函（附件1）</w:t>
      </w:r>
    </w:p>
    <w:p w14:paraId="7A2F1D45">
      <w:pPr>
        <w:pStyle w:val="34"/>
        <w:numPr>
          <w:ilvl w:val="0"/>
          <w:numId w:val="65"/>
        </w:numPr>
        <w:spacing w:line="460" w:lineRule="exact"/>
        <w:ind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法定(负责人)代表人身份证明书（附件2）</w:t>
      </w:r>
    </w:p>
    <w:p w14:paraId="0ECC474F">
      <w:pPr>
        <w:pStyle w:val="34"/>
        <w:numPr>
          <w:ilvl w:val="0"/>
          <w:numId w:val="65"/>
        </w:numPr>
        <w:spacing w:line="460" w:lineRule="exact"/>
        <w:ind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法定(负责人)代表人授权委托书（附件3）</w:t>
      </w:r>
    </w:p>
    <w:p w14:paraId="20618C25">
      <w:pPr>
        <w:pStyle w:val="33"/>
        <w:numPr>
          <w:ilvl w:val="0"/>
          <w:numId w:val="65"/>
        </w:numPr>
        <w:spacing w:line="460" w:lineRule="exact"/>
        <w:rPr>
          <w:rFonts w:ascii="黑体" w:hAnsi="黑体" w:eastAsia="黑体"/>
          <w:color w:val="auto"/>
          <w:sz w:val="21"/>
          <w:szCs w:val="21"/>
          <w:highlight w:val="none"/>
        </w:rPr>
      </w:pPr>
      <w:r>
        <w:rPr>
          <w:rFonts w:hint="eastAsia" w:ascii="黑体" w:hAnsi="黑体" w:eastAsia="黑体"/>
          <w:color w:val="auto"/>
          <w:sz w:val="21"/>
          <w:szCs w:val="21"/>
          <w:highlight w:val="none"/>
        </w:rPr>
        <w:t>投标人资格证明文件（包括但不限于“多证合一”营业执照或事业单位法人证书或营业执照、税务登记证、组织机构代码证、银行开户许可证、合格投标人特定资格要求的证明资料复印件）</w:t>
      </w:r>
    </w:p>
    <w:p w14:paraId="7812C7B9">
      <w:pPr>
        <w:pStyle w:val="34"/>
        <w:numPr>
          <w:ilvl w:val="0"/>
          <w:numId w:val="65"/>
        </w:numPr>
        <w:spacing w:line="460" w:lineRule="exact"/>
        <w:ind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承诺书（附件4）</w:t>
      </w:r>
    </w:p>
    <w:p w14:paraId="4807F8EA">
      <w:pPr>
        <w:pStyle w:val="34"/>
        <w:numPr>
          <w:ilvl w:val="0"/>
          <w:numId w:val="65"/>
        </w:numPr>
        <w:spacing w:line="460" w:lineRule="exact"/>
        <w:ind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商务差异表（附件5）</w:t>
      </w:r>
    </w:p>
    <w:p w14:paraId="152099B1">
      <w:pPr>
        <w:pStyle w:val="34"/>
        <w:numPr>
          <w:ilvl w:val="0"/>
          <w:numId w:val="65"/>
        </w:numPr>
        <w:spacing w:line="460" w:lineRule="exact"/>
        <w:ind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售后服务机构相关证明文件</w:t>
      </w:r>
    </w:p>
    <w:p w14:paraId="1B24A7D7">
      <w:pPr>
        <w:pStyle w:val="33"/>
        <w:numPr>
          <w:ilvl w:val="0"/>
          <w:numId w:val="65"/>
        </w:numPr>
        <w:spacing w:line="460" w:lineRule="exact"/>
        <w:rPr>
          <w:rFonts w:ascii="黑体" w:hAnsi="黑体" w:eastAsia="黑体"/>
          <w:color w:val="auto"/>
          <w:sz w:val="21"/>
          <w:szCs w:val="21"/>
          <w:highlight w:val="none"/>
        </w:rPr>
      </w:pPr>
      <w:r>
        <w:rPr>
          <w:rFonts w:hint="eastAsia" w:ascii="黑体" w:hAnsi="黑体" w:eastAsia="黑体"/>
          <w:color w:val="auto"/>
          <w:sz w:val="21"/>
          <w:szCs w:val="21"/>
          <w:highlight w:val="none"/>
        </w:rPr>
        <w:t>资格申明（附件6）</w:t>
      </w:r>
    </w:p>
    <w:p w14:paraId="5AB3470F">
      <w:pPr>
        <w:pStyle w:val="33"/>
        <w:numPr>
          <w:ilvl w:val="0"/>
          <w:numId w:val="65"/>
        </w:numPr>
        <w:spacing w:line="460" w:lineRule="exact"/>
        <w:rPr>
          <w:rFonts w:ascii="黑体" w:hAnsi="黑体" w:eastAsia="黑体"/>
          <w:color w:val="auto"/>
          <w:sz w:val="21"/>
          <w:szCs w:val="21"/>
          <w:highlight w:val="none"/>
        </w:rPr>
      </w:pPr>
      <w:r>
        <w:rPr>
          <w:rFonts w:hint="eastAsia" w:ascii="黑体" w:hAnsi="黑体" w:eastAsia="黑体"/>
          <w:color w:val="auto"/>
          <w:sz w:val="21"/>
          <w:szCs w:val="21"/>
          <w:highlight w:val="none"/>
        </w:rPr>
        <w:t>在经营活动中没有重大违法记录的书面声明（附件7）</w:t>
      </w:r>
    </w:p>
    <w:p w14:paraId="770CD909">
      <w:pPr>
        <w:pStyle w:val="33"/>
        <w:numPr>
          <w:ilvl w:val="0"/>
          <w:numId w:val="65"/>
        </w:numPr>
        <w:spacing w:line="460" w:lineRule="exact"/>
        <w:rPr>
          <w:rFonts w:ascii="黑体" w:hAnsi="黑体" w:eastAsia="黑体"/>
          <w:color w:val="auto"/>
          <w:sz w:val="21"/>
          <w:szCs w:val="21"/>
          <w:highlight w:val="none"/>
        </w:rPr>
      </w:pPr>
      <w:r>
        <w:rPr>
          <w:rFonts w:hint="eastAsia" w:ascii="黑体" w:hAnsi="黑体" w:eastAsia="黑体"/>
          <w:color w:val="auto"/>
          <w:sz w:val="21"/>
          <w:szCs w:val="21"/>
          <w:highlight w:val="none"/>
        </w:rPr>
        <w:t>投标人认为需要提供的其他商务资料 [如：开标一览表(附件8)、商务技术评审表中须提供的证明资料等]</w:t>
      </w:r>
    </w:p>
    <w:p w14:paraId="3626FACA">
      <w:pPr>
        <w:pStyle w:val="33"/>
        <w:numPr>
          <w:ilvl w:val="0"/>
          <w:numId w:val="65"/>
        </w:numPr>
        <w:spacing w:line="460" w:lineRule="exact"/>
        <w:rPr>
          <w:rFonts w:hint="eastAsia" w:ascii="黑体" w:hAnsi="黑体" w:eastAsia="黑体"/>
          <w:color w:val="auto"/>
          <w:sz w:val="21"/>
          <w:szCs w:val="21"/>
          <w:highlight w:val="none"/>
        </w:rPr>
      </w:pPr>
      <w:r>
        <w:rPr>
          <w:rFonts w:hint="eastAsia" w:ascii="黑体" w:hAnsi="黑体" w:eastAsia="黑体"/>
          <w:color w:val="auto"/>
          <w:sz w:val="21"/>
          <w:szCs w:val="21"/>
          <w:highlight w:val="none"/>
        </w:rPr>
        <w:t>廉政承诺书</w:t>
      </w:r>
      <w:r>
        <w:rPr>
          <w:rFonts w:hint="eastAsia" w:ascii="黑体" w:hAnsi="黑体" w:eastAsia="黑体"/>
          <w:color w:val="auto"/>
          <w:sz w:val="21"/>
          <w:szCs w:val="21"/>
          <w:highlight w:val="none"/>
          <w:lang w:eastAsia="zh-CN"/>
        </w:rPr>
        <w:t>（</w:t>
      </w:r>
      <w:r>
        <w:rPr>
          <w:rFonts w:hint="eastAsia" w:ascii="黑体" w:hAnsi="黑体" w:eastAsia="黑体"/>
          <w:color w:val="auto"/>
          <w:sz w:val="21"/>
          <w:szCs w:val="21"/>
          <w:highlight w:val="none"/>
        </w:rPr>
        <w:t>附件</w:t>
      </w:r>
      <w:r>
        <w:rPr>
          <w:rFonts w:hint="eastAsia" w:ascii="黑体" w:hAnsi="黑体" w:eastAsia="黑体"/>
          <w:color w:val="auto"/>
          <w:sz w:val="21"/>
          <w:szCs w:val="21"/>
          <w:highlight w:val="none"/>
          <w:lang w:val="en-US" w:eastAsia="zh-CN"/>
        </w:rPr>
        <w:t>9）</w:t>
      </w:r>
      <w:r>
        <w:rPr>
          <w:rFonts w:hint="eastAsia" w:ascii="黑体" w:hAnsi="黑体" w:eastAsia="黑体"/>
          <w:color w:val="auto"/>
          <w:sz w:val="21"/>
          <w:szCs w:val="21"/>
          <w:highlight w:val="none"/>
        </w:rPr>
        <w:t xml:space="preserve"> </w:t>
      </w:r>
    </w:p>
    <w:p w14:paraId="46C89294">
      <w:pPr>
        <w:pStyle w:val="34"/>
        <w:spacing w:beforeLines="100" w:afterLines="20" w:line="360" w:lineRule="auto"/>
        <w:ind w:firstLine="0" w:firstLineChars="0"/>
        <w:rPr>
          <w:rFonts w:ascii="黑体" w:hAnsi="黑体" w:eastAsia="黑体"/>
          <w:b/>
          <w:color w:val="auto"/>
          <w:sz w:val="21"/>
          <w:szCs w:val="21"/>
          <w:highlight w:val="none"/>
        </w:rPr>
      </w:pPr>
      <w:r>
        <w:rPr>
          <w:rFonts w:hint="eastAsia" w:ascii="黑体" w:hAnsi="黑体" w:eastAsia="黑体"/>
          <w:b/>
          <w:color w:val="auto"/>
          <w:sz w:val="21"/>
          <w:szCs w:val="21"/>
          <w:highlight w:val="none"/>
        </w:rPr>
        <w:t>第二章 技术文件</w:t>
      </w:r>
    </w:p>
    <w:p w14:paraId="6C430735">
      <w:pPr>
        <w:pStyle w:val="32"/>
        <w:numPr>
          <w:ilvl w:val="0"/>
          <w:numId w:val="66"/>
        </w:numPr>
        <w:spacing w:line="460" w:lineRule="exact"/>
        <w:ind w:firstLineChars="0"/>
        <w:rPr>
          <w:rFonts w:ascii="黑体" w:hAnsi="黑体" w:eastAsia="黑体"/>
          <w:color w:val="auto"/>
          <w:szCs w:val="21"/>
          <w:highlight w:val="none"/>
        </w:rPr>
      </w:pPr>
      <w:r>
        <w:rPr>
          <w:rFonts w:hint="eastAsia" w:ascii="黑体" w:hAnsi="黑体" w:eastAsia="黑体"/>
          <w:bCs/>
          <w:color w:val="auto"/>
          <w:szCs w:val="21"/>
          <w:highlight w:val="none"/>
        </w:rPr>
        <w:t>投标人拟为本项目提供的服务实施方案</w:t>
      </w:r>
      <w:r>
        <w:rPr>
          <w:rFonts w:hint="eastAsia" w:ascii="黑体" w:hAnsi="黑体" w:eastAsia="黑体"/>
          <w:color w:val="auto"/>
          <w:szCs w:val="21"/>
          <w:highlight w:val="none"/>
        </w:rPr>
        <w:t>（投标人自行编写）</w:t>
      </w:r>
    </w:p>
    <w:p w14:paraId="429784A6">
      <w:pPr>
        <w:pStyle w:val="32"/>
        <w:numPr>
          <w:ilvl w:val="0"/>
          <w:numId w:val="66"/>
        </w:numPr>
        <w:spacing w:line="460" w:lineRule="exact"/>
        <w:ind w:firstLineChars="0"/>
        <w:rPr>
          <w:rFonts w:ascii="黑体" w:hAnsi="黑体" w:eastAsia="黑体"/>
          <w:color w:val="auto"/>
          <w:szCs w:val="21"/>
          <w:highlight w:val="none"/>
        </w:rPr>
      </w:pPr>
      <w:r>
        <w:rPr>
          <w:rFonts w:hint="eastAsia" w:ascii="黑体" w:hAnsi="黑体" w:eastAsia="黑体"/>
          <w:color w:val="auto"/>
          <w:szCs w:val="21"/>
          <w:highlight w:val="none"/>
        </w:rPr>
        <w:t>投标人认为需要提供的其他资料</w:t>
      </w:r>
    </w:p>
    <w:p w14:paraId="0D788C55">
      <w:pPr>
        <w:pStyle w:val="3"/>
        <w:pageBreakBefore/>
        <w:spacing w:after="220" w:line="415" w:lineRule="auto"/>
        <w:jc w:val="left"/>
        <w:rPr>
          <w:rStyle w:val="23"/>
          <w:rFonts w:ascii="黑体" w:hAnsi="黑体" w:eastAsia="黑体"/>
          <w:b/>
          <w:bCs w:val="0"/>
          <w:color w:val="auto"/>
          <w:spacing w:val="12"/>
          <w:sz w:val="21"/>
          <w:highlight w:val="none"/>
        </w:rPr>
      </w:pPr>
      <w:bookmarkStart w:id="34" w:name="_Toc405313961"/>
      <w:bookmarkStart w:id="35" w:name="_Toc23715272"/>
      <w:bookmarkStart w:id="36" w:name="_Toc391627757"/>
      <w:r>
        <w:rPr>
          <w:rStyle w:val="23"/>
          <w:rFonts w:hint="eastAsia" w:ascii="黑体" w:hAnsi="黑体" w:eastAsia="黑体"/>
          <w:b/>
          <w:bCs w:val="0"/>
          <w:color w:val="auto"/>
          <w:spacing w:val="12"/>
          <w:sz w:val="21"/>
          <w:highlight w:val="none"/>
        </w:rPr>
        <w:t xml:space="preserve">附件1  </w:t>
      </w:r>
      <w:r>
        <w:rPr>
          <w:rStyle w:val="23"/>
          <w:rFonts w:hint="eastAsia" w:ascii="黑体" w:hAnsi="黑体" w:eastAsia="黑体"/>
          <w:b/>
          <w:bCs w:val="0"/>
          <w:color w:val="auto"/>
          <w:spacing w:val="12"/>
          <w:sz w:val="21"/>
          <w:szCs w:val="21"/>
          <w:highlight w:val="none"/>
        </w:rPr>
        <w:t>投标函</w:t>
      </w:r>
      <w:bookmarkEnd w:id="34"/>
      <w:bookmarkEnd w:id="35"/>
      <w:bookmarkEnd w:id="36"/>
    </w:p>
    <w:p w14:paraId="68E62E34">
      <w:pPr>
        <w:jc w:val="center"/>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投标函</w:t>
      </w:r>
    </w:p>
    <w:p w14:paraId="5BD998C6">
      <w:pPr>
        <w:spacing w:beforeLines="50" w:afterLines="50" w:line="360" w:lineRule="auto"/>
        <w:rPr>
          <w:rFonts w:ascii="黑体" w:hAnsi="黑体" w:eastAsia="黑体"/>
          <w:b/>
          <w:color w:val="auto"/>
          <w:highlight w:val="none"/>
        </w:rPr>
      </w:pPr>
      <w:r>
        <w:rPr>
          <w:rFonts w:hint="eastAsia" w:ascii="黑体" w:hAnsi="黑体" w:eastAsia="黑体"/>
          <w:b/>
          <w:color w:val="auto"/>
          <w:highlight w:val="none"/>
        </w:rPr>
        <w:t>致</w:t>
      </w:r>
      <w:r>
        <w:rPr>
          <w:rFonts w:hint="eastAsia" w:ascii="黑体" w:hAnsi="黑体" w:eastAsia="黑体"/>
          <w:b/>
          <w:color w:val="auto"/>
          <w:highlight w:val="none"/>
          <w:lang w:eastAsia="zh-CN"/>
        </w:rPr>
        <w:t>东莞松山湖高新技术产业开发区管理委员会</w:t>
      </w:r>
      <w:r>
        <w:rPr>
          <w:rFonts w:hint="eastAsia" w:ascii="黑体" w:hAnsi="黑体" w:eastAsia="黑体"/>
          <w:b/>
          <w:color w:val="auto"/>
          <w:highlight w:val="none"/>
        </w:rPr>
        <w:t>：</w:t>
      </w:r>
    </w:p>
    <w:p w14:paraId="622BB7E3">
      <w:pPr>
        <w:autoSpaceDE w:val="0"/>
        <w:autoSpaceDN w:val="0"/>
        <w:adjustRightInd w:val="0"/>
        <w:spacing w:line="360" w:lineRule="auto"/>
        <w:ind w:right="26" w:firstLine="420" w:firstLineChars="200"/>
        <w:rPr>
          <w:rFonts w:ascii="黑体" w:hAnsi="黑体" w:eastAsia="黑体"/>
          <w:color w:val="auto"/>
          <w:kern w:val="0"/>
          <w:szCs w:val="21"/>
          <w:highlight w:val="none"/>
        </w:rPr>
      </w:pPr>
      <w:r>
        <w:rPr>
          <w:rFonts w:hint="eastAsia" w:ascii="黑体" w:hAnsi="黑体" w:eastAsia="黑体"/>
          <w:color w:val="auto"/>
          <w:kern w:val="0"/>
          <w:szCs w:val="21"/>
          <w:highlight w:val="none"/>
        </w:rPr>
        <w:t>依据贵方</w:t>
      </w:r>
      <w:r>
        <w:rPr>
          <w:rFonts w:hint="eastAsia" w:ascii="黑体" w:hAnsi="黑体" w:eastAsia="黑体"/>
          <w:b/>
          <w:color w:val="auto"/>
          <w:kern w:val="0"/>
          <w:szCs w:val="21"/>
          <w:highlight w:val="none"/>
          <w:u w:val="single"/>
        </w:rPr>
        <w:t xml:space="preserve">    </w:t>
      </w:r>
      <w:r>
        <w:rPr>
          <w:rFonts w:hint="eastAsia" w:ascii="黑体" w:hAnsi="黑体" w:eastAsia="黑体"/>
          <w:b/>
          <w:color w:val="auto"/>
          <w:szCs w:val="21"/>
          <w:highlight w:val="none"/>
          <w:u w:val="single"/>
        </w:rPr>
        <w:t>项目名称</w:t>
      </w:r>
      <w:r>
        <w:rPr>
          <w:rFonts w:hint="eastAsia" w:ascii="黑体" w:hAnsi="黑体" w:eastAsia="黑体"/>
          <w:color w:val="auto"/>
          <w:szCs w:val="21"/>
          <w:highlight w:val="none"/>
          <w:u w:val="single"/>
        </w:rPr>
        <w:t xml:space="preserve">     </w:t>
      </w:r>
      <w:r>
        <w:rPr>
          <w:rFonts w:hint="eastAsia" w:ascii="黑体" w:hAnsi="黑体" w:eastAsia="黑体"/>
          <w:color w:val="auto"/>
          <w:kern w:val="0"/>
          <w:szCs w:val="21"/>
          <w:highlight w:val="none"/>
        </w:rPr>
        <w:t>项目</w:t>
      </w:r>
      <w:r>
        <w:rPr>
          <w:rFonts w:hint="eastAsia" w:ascii="黑体" w:hAnsi="黑体" w:eastAsia="黑体"/>
          <w:color w:val="auto"/>
          <w:szCs w:val="21"/>
          <w:highlight w:val="none"/>
          <w:u w:val="single"/>
        </w:rPr>
        <w:t>（</w:t>
      </w:r>
      <w:r>
        <w:rPr>
          <w:rFonts w:hint="eastAsia" w:ascii="黑体" w:hAnsi="黑体" w:eastAsia="黑体"/>
          <w:b/>
          <w:color w:val="auto"/>
          <w:szCs w:val="21"/>
          <w:highlight w:val="none"/>
          <w:u w:val="single"/>
        </w:rPr>
        <w:t xml:space="preserve">项目编号：        </w:t>
      </w:r>
      <w:r>
        <w:rPr>
          <w:rFonts w:hint="eastAsia" w:ascii="黑体" w:hAnsi="黑体" w:eastAsia="黑体"/>
          <w:color w:val="auto"/>
          <w:szCs w:val="21"/>
          <w:highlight w:val="none"/>
          <w:u w:val="single"/>
        </w:rPr>
        <w:t xml:space="preserve">) </w:t>
      </w:r>
      <w:r>
        <w:rPr>
          <w:rFonts w:hint="eastAsia" w:ascii="黑体" w:hAnsi="黑体" w:eastAsia="黑体"/>
          <w:color w:val="auto"/>
          <w:kern w:val="0"/>
          <w:szCs w:val="21"/>
          <w:highlight w:val="none"/>
        </w:rPr>
        <w:t>招标采购货物及服务的投标邀请，我方代表</w:t>
      </w:r>
      <w:r>
        <w:rPr>
          <w:rFonts w:hint="eastAsia" w:ascii="黑体" w:hAnsi="黑体" w:eastAsia="黑体"/>
          <w:color w:val="auto"/>
          <w:kern w:val="0"/>
          <w:szCs w:val="21"/>
          <w:highlight w:val="none"/>
          <w:u w:val="single"/>
        </w:rPr>
        <w:t xml:space="preserve"> </w:t>
      </w:r>
      <w:r>
        <w:rPr>
          <w:rFonts w:hint="eastAsia" w:ascii="黑体" w:hAnsi="黑体" w:eastAsia="黑体"/>
          <w:color w:val="auto"/>
          <w:szCs w:val="21"/>
          <w:highlight w:val="none"/>
          <w:u w:val="single"/>
        </w:rPr>
        <w:t>（</w:t>
      </w:r>
      <w:r>
        <w:rPr>
          <w:rFonts w:hint="eastAsia" w:ascii="黑体" w:hAnsi="黑体" w:eastAsia="黑体"/>
          <w:b/>
          <w:color w:val="auto"/>
          <w:szCs w:val="21"/>
          <w:highlight w:val="none"/>
          <w:u w:val="single"/>
        </w:rPr>
        <w:t>姓名、职务</w:t>
      </w:r>
      <w:r>
        <w:rPr>
          <w:rFonts w:hint="eastAsia" w:ascii="黑体" w:hAnsi="黑体" w:eastAsia="黑体"/>
          <w:color w:val="auto"/>
          <w:szCs w:val="21"/>
          <w:highlight w:val="none"/>
          <w:u w:val="single"/>
        </w:rPr>
        <w:t xml:space="preserve">） </w:t>
      </w:r>
      <w:r>
        <w:rPr>
          <w:rFonts w:hint="eastAsia" w:ascii="黑体" w:hAnsi="黑体" w:eastAsia="黑体"/>
          <w:color w:val="auto"/>
          <w:kern w:val="0"/>
          <w:szCs w:val="21"/>
          <w:highlight w:val="none"/>
        </w:rPr>
        <w:t>经正式授权并代表</w:t>
      </w:r>
      <w:r>
        <w:rPr>
          <w:rFonts w:hint="eastAsia" w:ascii="黑体" w:hAnsi="黑体" w:eastAsia="黑体"/>
          <w:color w:val="auto"/>
          <w:kern w:val="0"/>
          <w:szCs w:val="21"/>
          <w:highlight w:val="none"/>
          <w:u w:val="single"/>
        </w:rPr>
        <w:t xml:space="preserve"> </w:t>
      </w:r>
      <w:r>
        <w:rPr>
          <w:rFonts w:hint="eastAsia" w:ascii="黑体" w:hAnsi="黑体" w:eastAsia="黑体"/>
          <w:color w:val="auto"/>
          <w:szCs w:val="21"/>
          <w:highlight w:val="none"/>
          <w:u w:val="single"/>
        </w:rPr>
        <w:t>（</w:t>
      </w:r>
      <w:r>
        <w:rPr>
          <w:rFonts w:hint="eastAsia" w:ascii="黑体" w:hAnsi="黑体" w:eastAsia="黑体"/>
          <w:b/>
          <w:color w:val="auto"/>
          <w:szCs w:val="21"/>
          <w:highlight w:val="none"/>
          <w:u w:val="single"/>
        </w:rPr>
        <w:t>投标人名称</w:t>
      </w:r>
      <w:r>
        <w:rPr>
          <w:rFonts w:hint="eastAsia" w:ascii="黑体" w:hAnsi="黑体" w:eastAsia="黑体"/>
          <w:color w:val="auto"/>
          <w:szCs w:val="21"/>
          <w:highlight w:val="none"/>
          <w:u w:val="single"/>
        </w:rPr>
        <w:t xml:space="preserve">） </w:t>
      </w:r>
      <w:r>
        <w:rPr>
          <w:rFonts w:hint="eastAsia" w:ascii="黑体" w:hAnsi="黑体" w:eastAsia="黑体"/>
          <w:color w:val="auto"/>
          <w:szCs w:val="21"/>
          <w:highlight w:val="none"/>
        </w:rPr>
        <w:t>提交唱标信封一份、</w:t>
      </w:r>
      <w:r>
        <w:rPr>
          <w:rFonts w:hint="eastAsia" w:ascii="黑体" w:hAnsi="黑体" w:eastAsia="黑体"/>
          <w:color w:val="auto"/>
          <w:kern w:val="0"/>
          <w:szCs w:val="21"/>
          <w:highlight w:val="none"/>
        </w:rPr>
        <w:t>投标文件(商务技术文件)各正本一份，副本</w:t>
      </w:r>
      <w:r>
        <w:rPr>
          <w:rFonts w:hint="eastAsia" w:ascii="黑体" w:hAnsi="黑体" w:eastAsia="黑体"/>
          <w:color w:val="auto"/>
          <w:kern w:val="0"/>
          <w:szCs w:val="21"/>
          <w:highlight w:val="none"/>
          <w:u w:val="single"/>
        </w:rPr>
        <w:t xml:space="preserve"> （</w:t>
      </w:r>
      <w:r>
        <w:rPr>
          <w:rFonts w:hint="eastAsia" w:ascii="黑体" w:hAnsi="黑体" w:eastAsia="黑体"/>
          <w:b/>
          <w:color w:val="auto"/>
          <w:kern w:val="0"/>
          <w:szCs w:val="21"/>
          <w:highlight w:val="none"/>
          <w:u w:val="single"/>
        </w:rPr>
        <w:t>详见投标须知前附表</w:t>
      </w:r>
      <w:r>
        <w:rPr>
          <w:rFonts w:ascii="黑体" w:hAnsi="黑体" w:eastAsia="黑体"/>
          <w:color w:val="auto"/>
          <w:kern w:val="0"/>
          <w:szCs w:val="21"/>
          <w:highlight w:val="none"/>
          <w:u w:val="single"/>
        </w:rPr>
        <w:t>）</w:t>
      </w:r>
      <w:r>
        <w:rPr>
          <w:rFonts w:hint="eastAsia" w:ascii="黑体" w:hAnsi="黑体" w:eastAsia="黑体"/>
          <w:color w:val="auto"/>
          <w:kern w:val="0"/>
          <w:szCs w:val="21"/>
          <w:highlight w:val="none"/>
          <w:u w:val="single"/>
        </w:rPr>
        <w:t xml:space="preserve">  </w:t>
      </w:r>
      <w:r>
        <w:rPr>
          <w:rFonts w:hint="eastAsia" w:ascii="黑体" w:hAnsi="黑体" w:eastAsia="黑体"/>
          <w:color w:val="auto"/>
          <w:kern w:val="0"/>
          <w:szCs w:val="21"/>
          <w:highlight w:val="none"/>
        </w:rPr>
        <w:t>份。</w:t>
      </w:r>
    </w:p>
    <w:p w14:paraId="39887322">
      <w:pPr>
        <w:autoSpaceDE w:val="0"/>
        <w:autoSpaceDN w:val="0"/>
        <w:adjustRightInd w:val="0"/>
        <w:spacing w:line="360" w:lineRule="auto"/>
        <w:ind w:right="246"/>
        <w:rPr>
          <w:rFonts w:ascii="黑体" w:hAnsi="黑体" w:eastAsia="黑体"/>
          <w:color w:val="auto"/>
          <w:kern w:val="0"/>
          <w:szCs w:val="21"/>
          <w:highlight w:val="none"/>
        </w:rPr>
      </w:pPr>
      <w:r>
        <w:rPr>
          <w:rFonts w:hint="eastAsia" w:ascii="黑体" w:hAnsi="黑体" w:eastAsia="黑体"/>
          <w:color w:val="auto"/>
          <w:kern w:val="0"/>
          <w:szCs w:val="21"/>
          <w:highlight w:val="none"/>
        </w:rPr>
        <w:t>在此，我方声明如下：</w:t>
      </w:r>
    </w:p>
    <w:p w14:paraId="529D331A">
      <w:pPr>
        <w:pStyle w:val="32"/>
        <w:numPr>
          <w:ilvl w:val="0"/>
          <w:numId w:val="67"/>
        </w:numPr>
        <w:spacing w:line="360" w:lineRule="auto"/>
        <w:ind w:firstLineChars="0"/>
        <w:rPr>
          <w:rFonts w:ascii="黑体" w:hAnsi="黑体" w:eastAsia="黑体"/>
          <w:color w:val="auto"/>
          <w:szCs w:val="21"/>
          <w:highlight w:val="none"/>
        </w:rPr>
      </w:pPr>
      <w:r>
        <w:rPr>
          <w:rFonts w:hint="eastAsia" w:ascii="黑体" w:hAnsi="黑体" w:eastAsia="黑体"/>
          <w:color w:val="auto"/>
          <w:spacing w:val="-6"/>
          <w:szCs w:val="21"/>
          <w:highlight w:val="none"/>
        </w:rPr>
        <w:t>同意并接受招标文件的各项要求，遵守招标文件中的各项规定，按招标文件的要求提供报价</w:t>
      </w:r>
      <w:r>
        <w:rPr>
          <w:rFonts w:hint="eastAsia" w:ascii="黑体" w:hAnsi="黑体" w:eastAsia="黑体"/>
          <w:color w:val="auto"/>
          <w:szCs w:val="21"/>
          <w:highlight w:val="none"/>
        </w:rPr>
        <w:t>。</w:t>
      </w:r>
    </w:p>
    <w:p w14:paraId="042760EF">
      <w:pPr>
        <w:pStyle w:val="32"/>
        <w:numPr>
          <w:ilvl w:val="0"/>
          <w:numId w:val="67"/>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投标有效期为递交投标文件之日起</w:t>
      </w:r>
      <w:r>
        <w:rPr>
          <w:rFonts w:hint="eastAsia" w:ascii="黑体" w:hAnsi="黑体" w:eastAsia="黑体"/>
          <w:b/>
          <w:color w:val="auto"/>
          <w:szCs w:val="21"/>
          <w:highlight w:val="none"/>
          <w:u w:val="single"/>
        </w:rPr>
        <w:t>90</w:t>
      </w:r>
      <w:r>
        <w:rPr>
          <w:rFonts w:hint="eastAsia" w:ascii="黑体" w:hAnsi="黑体" w:eastAsia="黑体"/>
          <w:b/>
          <w:color w:val="auto"/>
          <w:szCs w:val="21"/>
          <w:highlight w:val="none"/>
        </w:rPr>
        <w:t>天</w:t>
      </w:r>
      <w:r>
        <w:rPr>
          <w:rFonts w:hint="eastAsia" w:ascii="黑体" w:hAnsi="黑体" w:eastAsia="黑体"/>
          <w:color w:val="auto"/>
          <w:szCs w:val="21"/>
          <w:highlight w:val="none"/>
        </w:rPr>
        <w:t>，中标人投标有效期延至合同验收之日。</w:t>
      </w:r>
    </w:p>
    <w:p w14:paraId="1DCA16AC">
      <w:pPr>
        <w:pStyle w:val="32"/>
        <w:numPr>
          <w:ilvl w:val="0"/>
          <w:numId w:val="67"/>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我方已经详细地阅读了全部招标文件及其附件，包括澄清及参考文件(如果有的话)。我方已完全清晰理解招标文件的要求，不存在任何含糊不清和误解之处，同意放弃对这些文件所提出的异议和质疑的权利。</w:t>
      </w:r>
    </w:p>
    <w:p w14:paraId="75F964BD">
      <w:pPr>
        <w:pStyle w:val="32"/>
        <w:numPr>
          <w:ilvl w:val="0"/>
          <w:numId w:val="67"/>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我方已毫无保留地向贵方提供一切所需的证明材料。</w:t>
      </w:r>
    </w:p>
    <w:p w14:paraId="09AE8DE3">
      <w:pPr>
        <w:pStyle w:val="32"/>
        <w:numPr>
          <w:ilvl w:val="0"/>
          <w:numId w:val="67"/>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我方承诺在本次投标文件中提供的一切文件，无论是原件还是复印件均为真实和准确的，绝无任何虚假、伪造和夸大的成份，否则，愿承担相应的后果和法律责任。</w:t>
      </w:r>
    </w:p>
    <w:p w14:paraId="002E1052">
      <w:pPr>
        <w:pStyle w:val="32"/>
        <w:numPr>
          <w:ilvl w:val="0"/>
          <w:numId w:val="67"/>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我方完全服从和尊重评委会所作的评定结果，同时清楚理解到报价最低并非意味着必定获得中标资格。</w:t>
      </w:r>
    </w:p>
    <w:p w14:paraId="559D09DB">
      <w:pPr>
        <w:pStyle w:val="32"/>
        <w:spacing w:afterLines="150" w:line="360" w:lineRule="auto"/>
        <w:ind w:firstLine="0" w:firstLineChars="0"/>
        <w:rPr>
          <w:rFonts w:ascii="黑体" w:hAnsi="黑体" w:eastAsia="黑体"/>
          <w:color w:val="auto"/>
          <w:szCs w:val="21"/>
          <w:highlight w:val="none"/>
        </w:rPr>
      </w:pPr>
    </w:p>
    <w:tbl>
      <w:tblPr>
        <w:tblStyle w:val="20"/>
        <w:tblW w:w="85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4"/>
        <w:gridCol w:w="4264"/>
      </w:tblGrid>
      <w:tr w14:paraId="40298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4" w:type="dxa"/>
            <w:vAlign w:val="top"/>
          </w:tcPr>
          <w:p w14:paraId="4875425F">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投标人地址：</w:t>
            </w:r>
            <w:r>
              <w:rPr>
                <w:rFonts w:hint="eastAsia" w:ascii="黑体" w:hAnsi="黑体" w:eastAsia="黑体"/>
                <w:color w:val="auto"/>
                <w:szCs w:val="21"/>
                <w:highlight w:val="none"/>
                <w:u w:val="single"/>
              </w:rPr>
              <w:t xml:space="preserve">                          </w:t>
            </w:r>
          </w:p>
        </w:tc>
        <w:tc>
          <w:tcPr>
            <w:tcW w:w="4264" w:type="dxa"/>
            <w:vAlign w:val="top"/>
          </w:tcPr>
          <w:p w14:paraId="404AE8EE">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邮编：</w:t>
            </w:r>
            <w:r>
              <w:rPr>
                <w:rFonts w:hint="eastAsia" w:ascii="黑体" w:hAnsi="黑体" w:eastAsia="黑体"/>
                <w:color w:val="auto"/>
                <w:szCs w:val="21"/>
                <w:highlight w:val="none"/>
                <w:u w:val="single"/>
              </w:rPr>
              <w:t xml:space="preserve">                                  </w:t>
            </w:r>
          </w:p>
        </w:tc>
      </w:tr>
      <w:tr w14:paraId="09F45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4" w:type="dxa"/>
            <w:vAlign w:val="top"/>
          </w:tcPr>
          <w:p w14:paraId="7CA261DB">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联系电话：</w:t>
            </w:r>
            <w:r>
              <w:rPr>
                <w:rFonts w:hint="eastAsia" w:ascii="黑体" w:hAnsi="黑体" w:eastAsia="黑体"/>
                <w:color w:val="auto"/>
                <w:szCs w:val="21"/>
                <w:highlight w:val="none"/>
                <w:u w:val="single"/>
              </w:rPr>
              <w:t xml:space="preserve">                            </w:t>
            </w:r>
          </w:p>
        </w:tc>
        <w:tc>
          <w:tcPr>
            <w:tcW w:w="4264" w:type="dxa"/>
            <w:vAlign w:val="top"/>
          </w:tcPr>
          <w:p w14:paraId="1751EFE6">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传真：</w:t>
            </w:r>
            <w:r>
              <w:rPr>
                <w:rFonts w:hint="eastAsia" w:ascii="黑体" w:hAnsi="黑体" w:eastAsia="黑体"/>
                <w:color w:val="auto"/>
                <w:szCs w:val="21"/>
                <w:highlight w:val="none"/>
                <w:u w:val="single"/>
              </w:rPr>
              <w:t xml:space="preserve">                                  </w:t>
            </w:r>
          </w:p>
        </w:tc>
      </w:tr>
      <w:tr w14:paraId="4A7E9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4" w:type="dxa"/>
            <w:vAlign w:val="top"/>
          </w:tcPr>
          <w:p w14:paraId="3C997CC0">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项目联系人：</w:t>
            </w:r>
            <w:r>
              <w:rPr>
                <w:rFonts w:hint="eastAsia" w:ascii="黑体" w:hAnsi="黑体" w:eastAsia="黑体"/>
                <w:color w:val="auto"/>
                <w:szCs w:val="21"/>
                <w:highlight w:val="none"/>
                <w:u w:val="single"/>
              </w:rPr>
              <w:t xml:space="preserve">                          </w:t>
            </w:r>
          </w:p>
        </w:tc>
        <w:tc>
          <w:tcPr>
            <w:tcW w:w="4264" w:type="dxa"/>
            <w:vAlign w:val="top"/>
          </w:tcPr>
          <w:p w14:paraId="5FEF7153">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手机：</w:t>
            </w:r>
            <w:r>
              <w:rPr>
                <w:rFonts w:hint="eastAsia" w:ascii="黑体" w:hAnsi="黑体" w:eastAsia="黑体"/>
                <w:color w:val="auto"/>
                <w:szCs w:val="21"/>
                <w:highlight w:val="none"/>
                <w:u w:val="single"/>
              </w:rPr>
              <w:t xml:space="preserve">                                  </w:t>
            </w:r>
          </w:p>
        </w:tc>
      </w:tr>
      <w:tr w14:paraId="48C36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2"/>
            <w:vAlign w:val="top"/>
          </w:tcPr>
          <w:p w14:paraId="4766B87F">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r>
      <w:tr w14:paraId="7D50C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2"/>
            <w:vAlign w:val="top"/>
          </w:tcPr>
          <w:p w14:paraId="0FFC5328">
            <w:pPr>
              <w:spacing w:line="360" w:lineRule="auto"/>
              <w:jc w:val="left"/>
              <w:rPr>
                <w:rFonts w:ascii="黑体" w:hAnsi="黑体" w:eastAsia="黑体"/>
                <w:color w:val="auto"/>
                <w:szCs w:val="21"/>
                <w:highlight w:val="none"/>
              </w:rPr>
            </w:pPr>
            <w:r>
              <w:rPr>
                <w:rFonts w:hint="eastAsia" w:ascii="黑体" w:hAnsi="黑体" w:eastAsia="黑体"/>
                <w:color w:val="auto"/>
                <w:szCs w:val="21"/>
                <w:highlight w:val="none"/>
              </w:rPr>
              <w:t>投标人法定(负责人)代表人或被授权人（签名或盖私章）：</w:t>
            </w:r>
            <w:r>
              <w:rPr>
                <w:rFonts w:hint="eastAsia" w:ascii="黑体" w:hAnsi="黑体" w:eastAsia="黑体"/>
                <w:color w:val="auto"/>
                <w:szCs w:val="21"/>
                <w:highlight w:val="none"/>
                <w:u w:val="single"/>
              </w:rPr>
              <w:t xml:space="preserve">                             </w:t>
            </w:r>
          </w:p>
        </w:tc>
      </w:tr>
      <w:tr w14:paraId="19307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2"/>
            <w:vAlign w:val="top"/>
          </w:tcPr>
          <w:p w14:paraId="4102E857">
            <w:pPr>
              <w:spacing w:line="360" w:lineRule="auto"/>
              <w:jc w:val="left"/>
              <w:rPr>
                <w:rFonts w:ascii="黑体" w:hAnsi="黑体" w:eastAsia="黑体"/>
                <w:color w:val="auto"/>
                <w:szCs w:val="21"/>
                <w:highlight w:val="none"/>
              </w:rPr>
            </w:pPr>
            <w:r>
              <w:rPr>
                <w:rFonts w:hint="eastAsia" w:ascii="黑体" w:hAnsi="黑体" w:eastAsia="黑体"/>
                <w:color w:val="auto"/>
                <w:szCs w:val="21"/>
                <w:highlight w:val="none"/>
              </w:rPr>
              <w:t>日期：</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u w:val="single"/>
              </w:rPr>
              <w:t xml:space="preserve">  </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u w:val="single"/>
              </w:rPr>
              <w:t>年</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u w:val="single"/>
              </w:rPr>
              <w:t xml:space="preserve">    </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u w:val="single"/>
              </w:rPr>
              <w:t>月</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u w:val="single"/>
              </w:rPr>
              <w:t xml:space="preserve">     </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u w:val="single"/>
              </w:rPr>
              <w:t>日</w:t>
            </w:r>
          </w:p>
        </w:tc>
      </w:tr>
    </w:tbl>
    <w:p w14:paraId="1AB6EFD4">
      <w:pPr>
        <w:pStyle w:val="3"/>
        <w:pageBreakBefore/>
        <w:spacing w:line="415" w:lineRule="auto"/>
        <w:jc w:val="left"/>
        <w:rPr>
          <w:rStyle w:val="23"/>
          <w:rFonts w:ascii="黑体" w:hAnsi="黑体" w:eastAsia="黑体"/>
          <w:b/>
          <w:bCs w:val="0"/>
          <w:color w:val="auto"/>
          <w:spacing w:val="12"/>
          <w:sz w:val="21"/>
          <w:szCs w:val="21"/>
          <w:highlight w:val="none"/>
        </w:rPr>
      </w:pPr>
      <w:bookmarkStart w:id="37" w:name="_Toc23715273"/>
      <w:bookmarkStart w:id="38" w:name="_Toc391627758"/>
      <w:bookmarkStart w:id="39" w:name="_Toc405313962"/>
      <w:r>
        <w:rPr>
          <w:rStyle w:val="23"/>
          <w:rFonts w:hint="eastAsia" w:ascii="黑体" w:hAnsi="黑体" w:eastAsia="黑体"/>
          <w:b/>
          <w:bCs w:val="0"/>
          <w:color w:val="auto"/>
          <w:spacing w:val="12"/>
          <w:sz w:val="21"/>
          <w:szCs w:val="21"/>
          <w:highlight w:val="none"/>
        </w:rPr>
        <w:t>附件2  法定(负责人)代表人身份证明书</w:t>
      </w:r>
      <w:bookmarkEnd w:id="37"/>
      <w:bookmarkEnd w:id="38"/>
      <w:bookmarkEnd w:id="39"/>
    </w:p>
    <w:p w14:paraId="7340C4A8">
      <w:pPr>
        <w:spacing w:line="360" w:lineRule="auto"/>
        <w:jc w:val="center"/>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法定(负责人)代表人身份证明书</w:t>
      </w:r>
    </w:p>
    <w:p w14:paraId="6A6E6B1B">
      <w:pPr>
        <w:spacing w:beforeLines="100" w:afterLines="50" w:line="360" w:lineRule="auto"/>
        <w:rPr>
          <w:rFonts w:ascii="黑体" w:hAnsi="黑体" w:eastAsia="黑体"/>
          <w:b/>
          <w:color w:val="auto"/>
          <w:highlight w:val="none"/>
        </w:rPr>
      </w:pPr>
      <w:r>
        <w:rPr>
          <w:rFonts w:hint="eastAsia" w:ascii="黑体" w:hAnsi="黑体" w:eastAsia="黑体"/>
          <w:b/>
          <w:color w:val="auto"/>
          <w:highlight w:val="none"/>
        </w:rPr>
        <w:t>致</w:t>
      </w:r>
      <w:r>
        <w:rPr>
          <w:rFonts w:hint="eastAsia" w:ascii="黑体" w:hAnsi="黑体" w:eastAsia="黑体"/>
          <w:b/>
          <w:color w:val="auto"/>
          <w:highlight w:val="none"/>
          <w:lang w:eastAsia="zh-CN"/>
        </w:rPr>
        <w:t>东莞松山湖高新技术产业开发区管理委员会</w:t>
      </w:r>
      <w:r>
        <w:rPr>
          <w:rFonts w:hint="eastAsia" w:ascii="黑体" w:hAnsi="黑体" w:eastAsia="黑体"/>
          <w:b/>
          <w:color w:val="auto"/>
          <w:highlight w:val="none"/>
        </w:rPr>
        <w:t>：</w:t>
      </w:r>
    </w:p>
    <w:tbl>
      <w:tblPr>
        <w:tblStyle w:val="20"/>
        <w:tblW w:w="85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2"/>
        <w:gridCol w:w="1462"/>
        <w:gridCol w:w="4264"/>
      </w:tblGrid>
      <w:tr w14:paraId="399EF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3"/>
            <w:vAlign w:val="top"/>
          </w:tcPr>
          <w:p w14:paraId="7D28F173">
            <w:pPr>
              <w:spacing w:line="360" w:lineRule="auto"/>
              <w:rPr>
                <w:rFonts w:ascii="黑体" w:hAnsi="黑体" w:eastAsia="黑体"/>
                <w:color w:val="auto"/>
                <w:szCs w:val="21"/>
                <w:highlight w:val="none"/>
              </w:rPr>
            </w:pPr>
            <w:r>
              <w:rPr>
                <w:rFonts w:ascii="黑体" w:hAnsi="黑体" w:eastAsia="黑体"/>
                <w:color w:val="auto"/>
                <w:szCs w:val="21"/>
                <w:highlight w:val="none"/>
                <w:u w:val="single"/>
              </w:rPr>
              <w:t xml:space="preserve">       </w:t>
            </w:r>
            <w:r>
              <w:rPr>
                <w:rFonts w:hint="eastAsia" w:ascii="黑体" w:hAnsi="黑体" w:eastAsia="黑体"/>
                <w:color w:val="auto"/>
                <w:szCs w:val="21"/>
                <w:highlight w:val="none"/>
                <w:u w:val="single"/>
              </w:rPr>
              <w:t xml:space="preserve">       </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rPr>
              <w:t>同志，现任我单位</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u w:val="single"/>
              </w:rPr>
              <w:t xml:space="preserve">     </w:t>
            </w:r>
            <w:r>
              <w:rPr>
                <w:rFonts w:ascii="黑体" w:hAnsi="黑体" w:eastAsia="黑体"/>
                <w:color w:val="auto"/>
                <w:szCs w:val="21"/>
                <w:highlight w:val="none"/>
                <w:u w:val="single"/>
              </w:rPr>
              <w:t xml:space="preserve">     </w:t>
            </w:r>
            <w:r>
              <w:rPr>
                <w:rFonts w:hint="eastAsia" w:ascii="黑体" w:hAnsi="黑体" w:eastAsia="黑体"/>
                <w:color w:val="auto"/>
                <w:szCs w:val="21"/>
                <w:highlight w:val="none"/>
              </w:rPr>
              <w:t>职务，为法定(负责人)代表人，特此证明。</w:t>
            </w:r>
          </w:p>
        </w:tc>
      </w:tr>
      <w:tr w14:paraId="5A32A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3"/>
            <w:vAlign w:val="top"/>
          </w:tcPr>
          <w:p w14:paraId="509B922D">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单位名称：</w:t>
            </w:r>
            <w:r>
              <w:rPr>
                <w:rFonts w:hint="eastAsia" w:ascii="黑体" w:hAnsi="黑体" w:eastAsia="黑体"/>
                <w:color w:val="auto"/>
                <w:szCs w:val="21"/>
                <w:highlight w:val="none"/>
                <w:u w:val="single"/>
              </w:rPr>
              <w:t xml:space="preserve">                                                                               </w:t>
            </w:r>
          </w:p>
        </w:tc>
      </w:tr>
      <w:tr w14:paraId="5DC8E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3"/>
            <w:vAlign w:val="top"/>
          </w:tcPr>
          <w:p w14:paraId="25B40774">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单位地址：</w:t>
            </w:r>
            <w:r>
              <w:rPr>
                <w:rFonts w:hint="eastAsia" w:ascii="黑体" w:hAnsi="黑体" w:eastAsia="黑体"/>
                <w:color w:val="auto"/>
                <w:szCs w:val="21"/>
                <w:highlight w:val="none"/>
                <w:u w:val="single"/>
              </w:rPr>
              <w:t xml:space="preserve">                                                                               </w:t>
            </w:r>
          </w:p>
        </w:tc>
      </w:tr>
      <w:tr w14:paraId="511A9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4" w:type="dxa"/>
            <w:gridSpan w:val="2"/>
            <w:vAlign w:val="top"/>
          </w:tcPr>
          <w:p w14:paraId="06D85DAD">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代表人姓名：</w:t>
            </w:r>
            <w:r>
              <w:rPr>
                <w:rFonts w:hint="eastAsia" w:ascii="黑体" w:hAnsi="黑体" w:eastAsia="黑体"/>
                <w:color w:val="auto"/>
                <w:szCs w:val="21"/>
                <w:highlight w:val="none"/>
                <w:u w:val="single"/>
              </w:rPr>
              <w:t xml:space="preserve">                          </w:t>
            </w:r>
          </w:p>
        </w:tc>
        <w:tc>
          <w:tcPr>
            <w:tcW w:w="4264" w:type="dxa"/>
            <w:vAlign w:val="top"/>
          </w:tcPr>
          <w:p w14:paraId="2A33E26D">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代表人联系电话：</w:t>
            </w:r>
            <w:r>
              <w:rPr>
                <w:rFonts w:hint="eastAsia" w:ascii="黑体" w:hAnsi="黑体" w:eastAsia="黑体"/>
                <w:color w:val="auto"/>
                <w:szCs w:val="21"/>
                <w:highlight w:val="none"/>
                <w:u w:val="single"/>
              </w:rPr>
              <w:t xml:space="preserve">                            </w:t>
            </w:r>
          </w:p>
        </w:tc>
      </w:tr>
      <w:tr w14:paraId="4DDE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4" w:type="dxa"/>
            <w:gridSpan w:val="2"/>
            <w:vAlign w:val="top"/>
          </w:tcPr>
          <w:p w14:paraId="2702DE2B">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代表人性别：</w:t>
            </w:r>
            <w:r>
              <w:rPr>
                <w:rFonts w:hint="eastAsia" w:ascii="黑体" w:hAnsi="黑体" w:eastAsia="黑体"/>
                <w:color w:val="auto"/>
                <w:szCs w:val="21"/>
                <w:highlight w:val="none"/>
                <w:u w:val="single"/>
              </w:rPr>
              <w:t xml:space="preserve">                          </w:t>
            </w:r>
          </w:p>
        </w:tc>
        <w:tc>
          <w:tcPr>
            <w:tcW w:w="4264" w:type="dxa"/>
            <w:vAlign w:val="top"/>
          </w:tcPr>
          <w:p w14:paraId="2C3632FD">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代表人年龄：</w:t>
            </w:r>
            <w:r>
              <w:rPr>
                <w:rFonts w:hint="eastAsia" w:ascii="黑体" w:hAnsi="黑体" w:eastAsia="黑体"/>
                <w:color w:val="auto"/>
                <w:szCs w:val="21"/>
                <w:highlight w:val="none"/>
                <w:u w:val="single"/>
              </w:rPr>
              <w:t xml:space="preserve">                                   </w:t>
            </w:r>
          </w:p>
        </w:tc>
      </w:tr>
      <w:tr w14:paraId="01D7F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4" w:type="dxa"/>
            <w:gridSpan w:val="2"/>
            <w:vAlign w:val="top"/>
          </w:tcPr>
          <w:p w14:paraId="6737610B">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代表人身份证号码：</w:t>
            </w:r>
            <w:r>
              <w:rPr>
                <w:rFonts w:hint="eastAsia" w:ascii="黑体" w:hAnsi="黑体" w:eastAsia="黑体"/>
                <w:color w:val="auto"/>
                <w:szCs w:val="21"/>
                <w:highlight w:val="none"/>
                <w:u w:val="single"/>
              </w:rPr>
              <w:t xml:space="preserve">                    </w:t>
            </w:r>
          </w:p>
        </w:tc>
        <w:tc>
          <w:tcPr>
            <w:tcW w:w="4264" w:type="dxa"/>
            <w:vAlign w:val="top"/>
          </w:tcPr>
          <w:p w14:paraId="30E14765">
            <w:pPr>
              <w:spacing w:line="360" w:lineRule="auto"/>
              <w:rPr>
                <w:rFonts w:ascii="黑体" w:hAnsi="黑体" w:eastAsia="黑体"/>
                <w:color w:val="auto"/>
                <w:spacing w:val="-8"/>
                <w:szCs w:val="21"/>
                <w:highlight w:val="none"/>
              </w:rPr>
            </w:pPr>
            <w:r>
              <w:rPr>
                <w:rFonts w:hint="eastAsia" w:ascii="黑体" w:hAnsi="黑体" w:eastAsia="黑体"/>
                <w:color w:val="auto"/>
                <w:spacing w:val="-8"/>
                <w:szCs w:val="21"/>
                <w:highlight w:val="none"/>
              </w:rPr>
              <w:t>营业执照或事业单位法人证书号码：</w:t>
            </w:r>
            <w:r>
              <w:rPr>
                <w:rFonts w:hint="eastAsia" w:ascii="黑体" w:hAnsi="黑体" w:eastAsia="黑体"/>
                <w:color w:val="auto"/>
                <w:spacing w:val="-8"/>
                <w:szCs w:val="21"/>
                <w:highlight w:val="none"/>
                <w:u w:val="single"/>
              </w:rPr>
              <w:t xml:space="preserve">                  </w:t>
            </w:r>
          </w:p>
        </w:tc>
      </w:tr>
      <w:tr w14:paraId="7A26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264" w:type="dxa"/>
            <w:gridSpan w:val="2"/>
            <w:vAlign w:val="top"/>
          </w:tcPr>
          <w:p w14:paraId="2CFA4A0B">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单位性质：</w:t>
            </w:r>
            <w:r>
              <w:rPr>
                <w:rFonts w:hint="eastAsia" w:ascii="黑体" w:hAnsi="黑体" w:eastAsia="黑体"/>
                <w:color w:val="auto"/>
                <w:szCs w:val="21"/>
                <w:highlight w:val="none"/>
                <w:u w:val="single"/>
              </w:rPr>
              <w:t xml:space="preserve">                            </w:t>
            </w:r>
          </w:p>
        </w:tc>
        <w:tc>
          <w:tcPr>
            <w:tcW w:w="4264" w:type="dxa"/>
            <w:vAlign w:val="top"/>
          </w:tcPr>
          <w:p w14:paraId="0FB58BDB">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经营期限：</w:t>
            </w:r>
            <w:r>
              <w:rPr>
                <w:rFonts w:hint="eastAsia" w:ascii="黑体" w:hAnsi="黑体" w:eastAsia="黑体"/>
                <w:color w:val="auto"/>
                <w:szCs w:val="21"/>
                <w:highlight w:val="none"/>
                <w:u w:val="single"/>
              </w:rPr>
              <w:t xml:space="preserve">                                  </w:t>
            </w:r>
          </w:p>
        </w:tc>
      </w:tr>
      <w:tr w14:paraId="49987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3"/>
            <w:vAlign w:val="top"/>
          </w:tcPr>
          <w:p w14:paraId="398CC3D7">
            <w:pPr>
              <w:spacing w:line="360" w:lineRule="auto"/>
              <w:jc w:val="left"/>
              <w:rPr>
                <w:rFonts w:ascii="黑体" w:hAnsi="黑体" w:eastAsia="黑体"/>
                <w:color w:val="auto"/>
                <w:szCs w:val="21"/>
                <w:highlight w:val="none"/>
              </w:rPr>
            </w:pPr>
            <w:r>
              <w:rPr>
                <w:rFonts w:hint="eastAsia" w:ascii="黑体" w:hAnsi="黑体" w:eastAsia="黑体"/>
                <w:color w:val="auto"/>
                <w:szCs w:val="21"/>
                <w:highlight w:val="none"/>
              </w:rPr>
              <w:t>主营（产）：</w:t>
            </w:r>
            <w:r>
              <w:rPr>
                <w:rFonts w:hint="eastAsia" w:ascii="黑体" w:hAnsi="黑体" w:eastAsia="黑体"/>
                <w:color w:val="auto"/>
                <w:szCs w:val="21"/>
                <w:highlight w:val="none"/>
                <w:u w:val="single"/>
              </w:rPr>
              <w:t xml:space="preserve">                                                                        </w:t>
            </w:r>
          </w:p>
        </w:tc>
      </w:tr>
      <w:tr w14:paraId="6F1FE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3"/>
            <w:vAlign w:val="top"/>
          </w:tcPr>
          <w:p w14:paraId="2086DA17">
            <w:pPr>
              <w:spacing w:line="360" w:lineRule="auto"/>
              <w:jc w:val="left"/>
              <w:rPr>
                <w:rFonts w:ascii="黑体" w:hAnsi="黑体" w:eastAsia="黑体"/>
                <w:color w:val="auto"/>
                <w:szCs w:val="21"/>
                <w:highlight w:val="none"/>
              </w:rPr>
            </w:pPr>
            <w:r>
              <w:rPr>
                <w:rFonts w:hint="eastAsia" w:ascii="黑体" w:hAnsi="黑体" w:eastAsia="黑体"/>
                <w:color w:val="auto"/>
                <w:szCs w:val="21"/>
                <w:highlight w:val="none"/>
              </w:rPr>
              <w:t>兼营（产）：</w:t>
            </w:r>
            <w:r>
              <w:rPr>
                <w:rFonts w:hint="eastAsia" w:ascii="黑体" w:hAnsi="黑体" w:eastAsia="黑体"/>
                <w:color w:val="auto"/>
                <w:szCs w:val="21"/>
                <w:highlight w:val="none"/>
                <w:u w:val="single"/>
              </w:rPr>
              <w:t xml:space="preserve">                                                                         </w:t>
            </w:r>
          </w:p>
        </w:tc>
      </w:tr>
      <w:tr w14:paraId="7A10C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3"/>
            <w:vAlign w:val="top"/>
          </w:tcPr>
          <w:p w14:paraId="2EED0AA6">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进口物品经营许可证号码：</w:t>
            </w:r>
            <w:r>
              <w:rPr>
                <w:rFonts w:hint="eastAsia" w:ascii="黑体" w:hAnsi="黑体" w:eastAsia="黑体"/>
                <w:color w:val="auto"/>
                <w:szCs w:val="21"/>
                <w:highlight w:val="none"/>
                <w:u w:val="single"/>
              </w:rPr>
              <w:t xml:space="preserve">                                                               </w:t>
            </w:r>
          </w:p>
        </w:tc>
      </w:tr>
      <w:tr w14:paraId="4B527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8528" w:type="dxa"/>
            <w:gridSpan w:val="3"/>
            <w:vAlign w:val="center"/>
          </w:tcPr>
          <w:p w14:paraId="7620D553">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特此证明！</w:t>
            </w:r>
          </w:p>
        </w:tc>
      </w:tr>
      <w:tr w14:paraId="48FB6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8" w:type="dxa"/>
            <w:gridSpan w:val="3"/>
            <w:vAlign w:val="top"/>
          </w:tcPr>
          <w:p w14:paraId="4DC08F23">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说明：</w:t>
            </w:r>
          </w:p>
          <w:p w14:paraId="0A8DC530">
            <w:pPr>
              <w:pStyle w:val="32"/>
              <w:numPr>
                <w:ilvl w:val="0"/>
                <w:numId w:val="68"/>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法定(负责人)代表人为企业事业单位、国家机关、社会团体的主要行政负责人。</w:t>
            </w:r>
          </w:p>
          <w:p w14:paraId="47B81512">
            <w:pPr>
              <w:pStyle w:val="32"/>
              <w:numPr>
                <w:ilvl w:val="0"/>
                <w:numId w:val="68"/>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内容必须填写真实、清楚、涂改无效，不得转让。</w:t>
            </w:r>
          </w:p>
        </w:tc>
      </w:tr>
      <w:tr w14:paraId="5B1DE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8528" w:type="dxa"/>
            <w:gridSpan w:val="3"/>
            <w:vAlign w:val="top"/>
          </w:tcPr>
          <w:p w14:paraId="54B57307">
            <w:pPr>
              <w:spacing w:line="360" w:lineRule="auto"/>
              <w:rPr>
                <w:rFonts w:ascii="黑体" w:hAnsi="黑体" w:eastAsia="黑体"/>
                <w:color w:val="auto"/>
                <w:szCs w:val="21"/>
                <w:highlight w:val="none"/>
              </w:rPr>
            </w:pPr>
          </w:p>
        </w:tc>
      </w:tr>
      <w:tr w14:paraId="1EB2B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02" w:type="dxa"/>
            <w:vAlign w:val="top"/>
          </w:tcPr>
          <w:p w14:paraId="71064376">
            <w:pPr>
              <w:spacing w:line="360" w:lineRule="auto"/>
              <w:rPr>
                <w:rFonts w:ascii="黑体" w:hAnsi="黑体" w:eastAsia="黑体"/>
                <w:color w:val="auto"/>
                <w:szCs w:val="21"/>
                <w:highlight w:val="none"/>
              </w:rPr>
            </w:pPr>
          </w:p>
        </w:tc>
        <w:tc>
          <w:tcPr>
            <w:tcW w:w="5726" w:type="dxa"/>
            <w:gridSpan w:val="2"/>
            <w:vAlign w:val="top"/>
          </w:tcPr>
          <w:p w14:paraId="63761618">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r>
      <w:tr w14:paraId="4011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02" w:type="dxa"/>
            <w:vAlign w:val="top"/>
          </w:tcPr>
          <w:p w14:paraId="7861E494">
            <w:pPr>
              <w:spacing w:line="360" w:lineRule="auto"/>
              <w:rPr>
                <w:rFonts w:ascii="黑体" w:hAnsi="黑体" w:eastAsia="黑体"/>
                <w:color w:val="auto"/>
                <w:szCs w:val="21"/>
                <w:highlight w:val="none"/>
              </w:rPr>
            </w:pPr>
          </w:p>
        </w:tc>
        <w:tc>
          <w:tcPr>
            <w:tcW w:w="5726" w:type="dxa"/>
            <w:gridSpan w:val="2"/>
            <w:vAlign w:val="top"/>
          </w:tcPr>
          <w:p w14:paraId="3A2C0955">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法定(负责人)代表人（签名或盖私章）：</w:t>
            </w:r>
            <w:r>
              <w:rPr>
                <w:rFonts w:hint="eastAsia" w:ascii="黑体" w:hAnsi="黑体" w:eastAsia="黑体"/>
                <w:color w:val="auto"/>
                <w:szCs w:val="21"/>
                <w:highlight w:val="none"/>
                <w:u w:val="single"/>
              </w:rPr>
              <w:t xml:space="preserve">                  </w:t>
            </w:r>
          </w:p>
        </w:tc>
      </w:tr>
      <w:tr w14:paraId="26697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802" w:type="dxa"/>
            <w:vAlign w:val="top"/>
          </w:tcPr>
          <w:p w14:paraId="6000C042">
            <w:pPr>
              <w:spacing w:line="360" w:lineRule="auto"/>
              <w:rPr>
                <w:rFonts w:ascii="黑体" w:hAnsi="黑体" w:eastAsia="黑体"/>
                <w:color w:val="auto"/>
                <w:szCs w:val="21"/>
                <w:highlight w:val="none"/>
              </w:rPr>
            </w:pPr>
          </w:p>
        </w:tc>
        <w:tc>
          <w:tcPr>
            <w:tcW w:w="5726" w:type="dxa"/>
            <w:gridSpan w:val="2"/>
            <w:vAlign w:val="top"/>
          </w:tcPr>
          <w:p w14:paraId="625D4640">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r>
    </w:tbl>
    <w:p w14:paraId="12A62D91">
      <w:pPr>
        <w:spacing w:beforeLines="50" w:afterLines="30" w:line="360" w:lineRule="auto"/>
        <w:rPr>
          <w:rFonts w:ascii="黑体" w:hAnsi="黑体" w:eastAsia="黑体"/>
          <w:color w:val="auto"/>
          <w:szCs w:val="21"/>
          <w:highlight w:val="none"/>
        </w:rPr>
      </w:pPr>
    </w:p>
    <w:p w14:paraId="7A780F0A">
      <w:pPr>
        <w:spacing w:beforeLines="50" w:afterLines="30" w:line="360" w:lineRule="auto"/>
        <w:rPr>
          <w:rFonts w:ascii="黑体" w:hAnsi="黑体" w:eastAsia="黑体"/>
          <w:b/>
          <w:color w:val="auto"/>
          <w:szCs w:val="21"/>
          <w:highlight w:val="none"/>
        </w:rPr>
      </w:pPr>
      <w:r>
        <w:rPr>
          <w:rFonts w:hint="eastAsia" w:ascii="黑体" w:hAnsi="黑体" w:eastAsia="黑体"/>
          <w:b/>
          <w:color w:val="auto"/>
          <w:szCs w:val="21"/>
          <w:highlight w:val="none"/>
        </w:rPr>
        <w:t>须附：法定(负责人)代表人身份证正、反面复印件</w:t>
      </w:r>
    </w:p>
    <w:p w14:paraId="5B392AF0">
      <w:pPr>
        <w:pStyle w:val="3"/>
        <w:pageBreakBefore/>
        <w:spacing w:line="415" w:lineRule="auto"/>
        <w:jc w:val="left"/>
        <w:rPr>
          <w:rStyle w:val="23"/>
          <w:rFonts w:ascii="黑体" w:hAnsi="黑体" w:eastAsia="黑体"/>
          <w:b/>
          <w:bCs w:val="0"/>
          <w:color w:val="auto"/>
          <w:spacing w:val="12"/>
          <w:sz w:val="21"/>
          <w:highlight w:val="none"/>
        </w:rPr>
      </w:pPr>
      <w:bookmarkStart w:id="40" w:name="_Toc23715274"/>
      <w:bookmarkStart w:id="41" w:name="_Toc391627759"/>
      <w:bookmarkStart w:id="42" w:name="_Toc405313963"/>
      <w:r>
        <w:rPr>
          <w:rStyle w:val="23"/>
          <w:rFonts w:hint="eastAsia" w:ascii="黑体" w:hAnsi="黑体" w:eastAsia="黑体"/>
          <w:b/>
          <w:bCs w:val="0"/>
          <w:color w:val="auto"/>
          <w:spacing w:val="12"/>
          <w:sz w:val="21"/>
          <w:szCs w:val="21"/>
          <w:highlight w:val="none"/>
        </w:rPr>
        <w:t>附件3  法定(负责人)代表人授权委托书</w:t>
      </w:r>
      <w:bookmarkEnd w:id="40"/>
      <w:bookmarkEnd w:id="41"/>
      <w:bookmarkEnd w:id="42"/>
    </w:p>
    <w:p w14:paraId="47B156C9">
      <w:pPr>
        <w:spacing w:line="360" w:lineRule="auto"/>
        <w:jc w:val="center"/>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法定(负责人)代表人授权委托书</w:t>
      </w:r>
    </w:p>
    <w:p w14:paraId="2AE0F6BA">
      <w:pPr>
        <w:spacing w:beforeLines="150" w:afterLines="100" w:line="360" w:lineRule="auto"/>
        <w:rPr>
          <w:rFonts w:ascii="黑体" w:hAnsi="黑体" w:eastAsia="黑体"/>
          <w:b/>
          <w:color w:val="auto"/>
          <w:highlight w:val="none"/>
        </w:rPr>
      </w:pPr>
      <w:r>
        <w:rPr>
          <w:rFonts w:hint="eastAsia" w:ascii="黑体" w:hAnsi="黑体" w:eastAsia="黑体"/>
          <w:b/>
          <w:color w:val="auto"/>
          <w:highlight w:val="none"/>
        </w:rPr>
        <w:t>致</w:t>
      </w:r>
      <w:r>
        <w:rPr>
          <w:rFonts w:hint="eastAsia" w:ascii="黑体" w:hAnsi="黑体" w:eastAsia="黑体"/>
          <w:b/>
          <w:color w:val="auto"/>
          <w:highlight w:val="none"/>
          <w:lang w:eastAsia="zh-CN"/>
        </w:rPr>
        <w:t>东莞松山湖高新技术产业开发区管理委员会</w:t>
      </w:r>
      <w:r>
        <w:rPr>
          <w:rFonts w:hint="eastAsia" w:ascii="黑体" w:hAnsi="黑体" w:eastAsia="黑体"/>
          <w:b/>
          <w:color w:val="auto"/>
          <w:highlight w:val="none"/>
        </w:rPr>
        <w:t>：</w:t>
      </w:r>
    </w:p>
    <w:p w14:paraId="02E2ECA5">
      <w:pPr>
        <w:pStyle w:val="34"/>
        <w:spacing w:line="360" w:lineRule="auto"/>
        <w:ind w:firstLine="450" w:firstLineChars="0"/>
        <w:rPr>
          <w:rFonts w:ascii="黑体" w:hAnsi="黑体" w:eastAsia="黑体"/>
          <w:color w:val="auto"/>
          <w:sz w:val="21"/>
          <w:szCs w:val="21"/>
          <w:highlight w:val="none"/>
        </w:rPr>
      </w:pPr>
      <w:r>
        <w:rPr>
          <w:rFonts w:hint="eastAsia" w:ascii="黑体" w:hAnsi="黑体" w:eastAsia="黑体"/>
          <w:color w:val="auto"/>
          <w:sz w:val="21"/>
          <w:szCs w:val="21"/>
          <w:highlight w:val="none"/>
        </w:rPr>
        <w:t>本人</w:t>
      </w:r>
      <w:r>
        <w:rPr>
          <w:rFonts w:hint="eastAsia" w:ascii="黑体" w:hAnsi="黑体" w:eastAsia="黑体"/>
          <w:color w:val="auto"/>
          <w:sz w:val="21"/>
          <w:szCs w:val="21"/>
          <w:highlight w:val="none"/>
          <w:u w:val="single"/>
        </w:rPr>
        <w:t xml:space="preserve">   （姓名）  </w:t>
      </w:r>
      <w:r>
        <w:rPr>
          <w:rFonts w:hint="eastAsia" w:ascii="黑体" w:hAnsi="黑体" w:eastAsia="黑体"/>
          <w:color w:val="auto"/>
          <w:sz w:val="21"/>
          <w:szCs w:val="21"/>
          <w:highlight w:val="none"/>
        </w:rPr>
        <w:t>系</w:t>
      </w:r>
      <w:r>
        <w:rPr>
          <w:rFonts w:hint="eastAsia" w:ascii="黑体" w:hAnsi="黑体" w:eastAsia="黑体"/>
          <w:color w:val="auto"/>
          <w:sz w:val="21"/>
          <w:szCs w:val="21"/>
          <w:highlight w:val="none"/>
          <w:u w:val="single"/>
        </w:rPr>
        <w:t xml:space="preserve">     （投标人名称）    </w:t>
      </w:r>
      <w:r>
        <w:rPr>
          <w:rFonts w:hint="eastAsia" w:ascii="黑体" w:hAnsi="黑体" w:eastAsia="黑体"/>
          <w:color w:val="auto"/>
          <w:sz w:val="21"/>
          <w:szCs w:val="21"/>
          <w:highlight w:val="none"/>
        </w:rPr>
        <w:t>的法定(负责人)代表人，现委托</w:t>
      </w:r>
      <w:r>
        <w:rPr>
          <w:rFonts w:hint="eastAsia" w:ascii="黑体" w:hAnsi="黑体" w:eastAsia="黑体"/>
          <w:color w:val="auto"/>
          <w:sz w:val="21"/>
          <w:szCs w:val="21"/>
          <w:highlight w:val="none"/>
          <w:u w:val="single"/>
        </w:rPr>
        <w:t xml:space="preserve"> （姓名） </w:t>
      </w:r>
      <w:r>
        <w:rPr>
          <w:rFonts w:hint="eastAsia" w:ascii="黑体" w:hAnsi="黑体" w:eastAsia="黑体"/>
          <w:color w:val="auto"/>
          <w:sz w:val="21"/>
          <w:szCs w:val="21"/>
          <w:highlight w:val="none"/>
        </w:rPr>
        <w:t>为我方合法代理人。代理人根据授权，以我方名义签署、澄清、说明、补正、递交、撤回、修改</w:t>
      </w:r>
      <w:r>
        <w:rPr>
          <w:rFonts w:hint="eastAsia" w:ascii="黑体" w:hAnsi="黑体" w:eastAsia="黑体"/>
          <w:color w:val="auto"/>
          <w:sz w:val="21"/>
          <w:szCs w:val="21"/>
          <w:highlight w:val="none"/>
          <w:u w:val="single"/>
        </w:rPr>
        <w:t xml:space="preserve">          （项目名称）       </w:t>
      </w:r>
      <w:r>
        <w:rPr>
          <w:rFonts w:hint="eastAsia" w:ascii="黑体" w:hAnsi="黑体" w:eastAsia="黑体"/>
          <w:color w:val="auto"/>
          <w:sz w:val="21"/>
          <w:szCs w:val="21"/>
          <w:highlight w:val="none"/>
        </w:rPr>
        <w:t>（项目编号：</w:t>
      </w:r>
      <w:r>
        <w:rPr>
          <w:rFonts w:hint="eastAsia" w:ascii="黑体" w:hAnsi="黑体" w:eastAsia="黑体"/>
          <w:color w:val="auto"/>
          <w:sz w:val="21"/>
          <w:szCs w:val="21"/>
          <w:highlight w:val="none"/>
          <w:u w:val="single"/>
        </w:rPr>
        <w:t>　　     　</w:t>
      </w:r>
      <w:r>
        <w:rPr>
          <w:rFonts w:hint="eastAsia" w:ascii="黑体" w:hAnsi="黑体" w:eastAsia="黑体"/>
          <w:color w:val="auto"/>
          <w:sz w:val="21"/>
          <w:szCs w:val="21"/>
          <w:highlight w:val="none"/>
        </w:rPr>
        <w:t>）投标文件、签订合同和处理有关事宜，其法律后果由我方承担。</w:t>
      </w:r>
    </w:p>
    <w:p w14:paraId="0E481E22">
      <w:pPr>
        <w:pStyle w:val="34"/>
        <w:spacing w:line="360" w:lineRule="auto"/>
        <w:ind w:firstLine="428" w:firstLineChars="204"/>
        <w:rPr>
          <w:rFonts w:ascii="黑体" w:hAnsi="黑体" w:eastAsia="黑体"/>
          <w:color w:val="auto"/>
          <w:sz w:val="21"/>
          <w:szCs w:val="21"/>
          <w:highlight w:val="none"/>
        </w:rPr>
      </w:pPr>
      <w:r>
        <w:rPr>
          <w:rFonts w:hint="eastAsia" w:ascii="黑体" w:hAnsi="黑体" w:eastAsia="黑体"/>
          <w:color w:val="auto"/>
          <w:sz w:val="21"/>
          <w:szCs w:val="21"/>
          <w:highlight w:val="none"/>
        </w:rPr>
        <w:t>本委托书于</w:t>
      </w:r>
      <w:r>
        <w:rPr>
          <w:rFonts w:hint="eastAsia" w:ascii="黑体" w:hAnsi="黑体" w:eastAsia="黑体"/>
          <w:color w:val="auto"/>
          <w:sz w:val="21"/>
          <w:szCs w:val="21"/>
          <w:highlight w:val="none"/>
          <w:u w:val="single"/>
        </w:rPr>
        <w:t xml:space="preserve">　    </w:t>
      </w:r>
      <w:r>
        <w:rPr>
          <w:rFonts w:hint="eastAsia" w:ascii="黑体" w:hAnsi="黑体" w:eastAsia="黑体"/>
          <w:color w:val="auto"/>
          <w:sz w:val="21"/>
          <w:szCs w:val="21"/>
          <w:highlight w:val="none"/>
        </w:rPr>
        <w:t>年</w:t>
      </w:r>
      <w:r>
        <w:rPr>
          <w:rFonts w:hint="eastAsia" w:ascii="黑体" w:hAnsi="黑体" w:eastAsia="黑体"/>
          <w:color w:val="auto"/>
          <w:sz w:val="21"/>
          <w:szCs w:val="21"/>
          <w:highlight w:val="none"/>
          <w:u w:val="single"/>
        </w:rPr>
        <w:t xml:space="preserve">　 </w:t>
      </w:r>
      <w:r>
        <w:rPr>
          <w:rFonts w:hint="eastAsia" w:ascii="黑体" w:hAnsi="黑体" w:eastAsia="黑体"/>
          <w:color w:val="auto"/>
          <w:sz w:val="21"/>
          <w:szCs w:val="21"/>
          <w:highlight w:val="none"/>
        </w:rPr>
        <w:t>月</w:t>
      </w:r>
      <w:r>
        <w:rPr>
          <w:rFonts w:hint="eastAsia" w:ascii="黑体" w:hAnsi="黑体" w:eastAsia="黑体"/>
          <w:color w:val="auto"/>
          <w:sz w:val="21"/>
          <w:szCs w:val="21"/>
          <w:highlight w:val="none"/>
          <w:u w:val="single"/>
        </w:rPr>
        <w:t xml:space="preserve">　 </w:t>
      </w:r>
      <w:r>
        <w:rPr>
          <w:rFonts w:hint="eastAsia" w:ascii="黑体" w:hAnsi="黑体" w:eastAsia="黑体"/>
          <w:color w:val="auto"/>
          <w:sz w:val="21"/>
          <w:szCs w:val="21"/>
          <w:highlight w:val="none"/>
        </w:rPr>
        <w:t>日签字生效，特此证明。</w:t>
      </w:r>
    </w:p>
    <w:p w14:paraId="373AEFE5">
      <w:pPr>
        <w:pStyle w:val="34"/>
        <w:spacing w:line="360" w:lineRule="auto"/>
        <w:ind w:firstLine="428" w:firstLineChars="204"/>
        <w:rPr>
          <w:rFonts w:ascii="黑体" w:hAnsi="黑体" w:eastAsia="黑体"/>
          <w:color w:val="auto"/>
          <w:sz w:val="21"/>
          <w:szCs w:val="21"/>
          <w:highlight w:val="none"/>
        </w:rPr>
      </w:pPr>
      <w:r>
        <w:rPr>
          <w:rFonts w:hint="eastAsia" w:ascii="黑体" w:hAnsi="黑体" w:eastAsia="黑体"/>
          <w:color w:val="auto"/>
          <w:sz w:val="21"/>
          <w:szCs w:val="21"/>
          <w:highlight w:val="none"/>
        </w:rPr>
        <w:t>被授权人无转委托权。</w:t>
      </w:r>
    </w:p>
    <w:p w14:paraId="04616141">
      <w:pPr>
        <w:pStyle w:val="34"/>
        <w:spacing w:line="360" w:lineRule="auto"/>
        <w:ind w:firstLine="0" w:firstLineChars="0"/>
        <w:rPr>
          <w:rFonts w:ascii="黑体" w:hAnsi="黑体" w:eastAsia="黑体"/>
          <w:color w:val="auto"/>
          <w:sz w:val="21"/>
          <w:szCs w:val="21"/>
          <w:highlight w:val="none"/>
        </w:rPr>
      </w:pPr>
    </w:p>
    <w:p w14:paraId="5795814A">
      <w:pPr>
        <w:pStyle w:val="34"/>
        <w:spacing w:line="360" w:lineRule="auto"/>
        <w:ind w:firstLine="0" w:firstLineChars="0"/>
        <w:rPr>
          <w:rFonts w:ascii="黑体" w:hAnsi="黑体" w:eastAsia="黑体"/>
          <w:color w:val="auto"/>
          <w:sz w:val="21"/>
          <w:szCs w:val="21"/>
          <w:highlight w:val="none"/>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2"/>
        <w:gridCol w:w="5726"/>
      </w:tblGrid>
      <w:tr w14:paraId="55D05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vAlign w:val="top"/>
          </w:tcPr>
          <w:p w14:paraId="67A0F6BC">
            <w:pPr>
              <w:pStyle w:val="34"/>
              <w:spacing w:line="360" w:lineRule="auto"/>
              <w:ind w:firstLine="0" w:firstLineChars="0"/>
              <w:rPr>
                <w:rFonts w:ascii="黑体" w:hAnsi="黑体" w:eastAsia="黑体"/>
                <w:color w:val="auto"/>
                <w:kern w:val="2"/>
                <w:sz w:val="21"/>
                <w:szCs w:val="21"/>
                <w:highlight w:val="none"/>
              </w:rPr>
            </w:pPr>
          </w:p>
        </w:tc>
        <w:tc>
          <w:tcPr>
            <w:tcW w:w="5726" w:type="dxa"/>
            <w:vAlign w:val="top"/>
          </w:tcPr>
          <w:p w14:paraId="276CBD2E">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r>
      <w:tr w14:paraId="0E43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vAlign w:val="top"/>
          </w:tcPr>
          <w:p w14:paraId="27D7323C">
            <w:pPr>
              <w:pStyle w:val="34"/>
              <w:spacing w:line="360" w:lineRule="auto"/>
              <w:ind w:firstLine="0" w:firstLineChars="0"/>
              <w:rPr>
                <w:rFonts w:ascii="黑体" w:hAnsi="黑体" w:eastAsia="黑体"/>
                <w:color w:val="auto"/>
                <w:kern w:val="2"/>
                <w:sz w:val="21"/>
                <w:szCs w:val="21"/>
                <w:highlight w:val="none"/>
              </w:rPr>
            </w:pPr>
          </w:p>
        </w:tc>
        <w:tc>
          <w:tcPr>
            <w:tcW w:w="5726" w:type="dxa"/>
            <w:vAlign w:val="top"/>
          </w:tcPr>
          <w:p w14:paraId="65F053C9">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法定(负责人)代表人（签名或盖私章）：</w:t>
            </w:r>
            <w:r>
              <w:rPr>
                <w:rFonts w:hint="eastAsia" w:ascii="黑体" w:hAnsi="黑体" w:eastAsia="黑体"/>
                <w:color w:val="auto"/>
                <w:szCs w:val="21"/>
                <w:highlight w:val="none"/>
                <w:u w:val="single"/>
              </w:rPr>
              <w:t xml:space="preserve">                  </w:t>
            </w:r>
          </w:p>
        </w:tc>
      </w:tr>
      <w:tr w14:paraId="60C04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vAlign w:val="top"/>
          </w:tcPr>
          <w:p w14:paraId="21A3C976">
            <w:pPr>
              <w:pStyle w:val="34"/>
              <w:spacing w:line="360" w:lineRule="auto"/>
              <w:ind w:firstLine="0" w:firstLineChars="0"/>
              <w:rPr>
                <w:rFonts w:ascii="黑体" w:hAnsi="黑体" w:eastAsia="黑体"/>
                <w:color w:val="auto"/>
                <w:kern w:val="2"/>
                <w:sz w:val="21"/>
                <w:szCs w:val="21"/>
                <w:highlight w:val="none"/>
              </w:rPr>
            </w:pPr>
          </w:p>
        </w:tc>
        <w:tc>
          <w:tcPr>
            <w:tcW w:w="5726" w:type="dxa"/>
            <w:vAlign w:val="top"/>
          </w:tcPr>
          <w:p w14:paraId="4A621285">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身份证号码：</w:t>
            </w:r>
            <w:r>
              <w:rPr>
                <w:rFonts w:hint="eastAsia" w:ascii="黑体" w:hAnsi="黑体" w:eastAsia="黑体"/>
                <w:color w:val="auto"/>
                <w:szCs w:val="21"/>
                <w:highlight w:val="none"/>
                <w:u w:val="single"/>
              </w:rPr>
              <w:t xml:space="preserve">                                         </w:t>
            </w:r>
          </w:p>
        </w:tc>
      </w:tr>
      <w:tr w14:paraId="41DAA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vAlign w:val="top"/>
          </w:tcPr>
          <w:p w14:paraId="7B1D5156">
            <w:pPr>
              <w:pStyle w:val="34"/>
              <w:spacing w:line="360" w:lineRule="auto"/>
              <w:ind w:firstLine="0" w:firstLineChars="0"/>
              <w:rPr>
                <w:rFonts w:ascii="黑体" w:hAnsi="黑体" w:eastAsia="黑体"/>
                <w:color w:val="auto"/>
                <w:kern w:val="2"/>
                <w:sz w:val="21"/>
                <w:szCs w:val="21"/>
                <w:highlight w:val="none"/>
              </w:rPr>
            </w:pPr>
          </w:p>
        </w:tc>
        <w:tc>
          <w:tcPr>
            <w:tcW w:w="5726" w:type="dxa"/>
            <w:vAlign w:val="top"/>
          </w:tcPr>
          <w:p w14:paraId="76AF6595">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被授权人（签名或盖私章）：</w:t>
            </w:r>
            <w:r>
              <w:rPr>
                <w:rFonts w:hint="eastAsia" w:ascii="黑体" w:hAnsi="黑体" w:eastAsia="黑体"/>
                <w:color w:val="auto"/>
                <w:szCs w:val="21"/>
                <w:highlight w:val="none"/>
                <w:u w:val="single"/>
              </w:rPr>
              <w:t xml:space="preserve">                            </w:t>
            </w:r>
          </w:p>
        </w:tc>
      </w:tr>
      <w:tr w14:paraId="5C8B9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vAlign w:val="top"/>
          </w:tcPr>
          <w:p w14:paraId="6CD2F276">
            <w:pPr>
              <w:pStyle w:val="34"/>
              <w:spacing w:line="360" w:lineRule="auto"/>
              <w:ind w:firstLine="0" w:firstLineChars="0"/>
              <w:rPr>
                <w:rFonts w:ascii="黑体" w:hAnsi="黑体" w:eastAsia="黑体"/>
                <w:color w:val="auto"/>
                <w:kern w:val="2"/>
                <w:sz w:val="21"/>
                <w:szCs w:val="21"/>
                <w:highlight w:val="none"/>
              </w:rPr>
            </w:pPr>
          </w:p>
        </w:tc>
        <w:tc>
          <w:tcPr>
            <w:tcW w:w="5726" w:type="dxa"/>
            <w:vAlign w:val="top"/>
          </w:tcPr>
          <w:p w14:paraId="77920B14">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身份证号码：</w:t>
            </w:r>
            <w:r>
              <w:rPr>
                <w:rFonts w:hint="eastAsia" w:ascii="黑体" w:hAnsi="黑体" w:eastAsia="黑体"/>
                <w:color w:val="auto"/>
                <w:szCs w:val="21"/>
                <w:highlight w:val="none"/>
                <w:u w:val="single"/>
              </w:rPr>
              <w:t xml:space="preserve">                                         </w:t>
            </w:r>
          </w:p>
        </w:tc>
      </w:tr>
      <w:tr w14:paraId="222C4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2" w:type="dxa"/>
            <w:vAlign w:val="top"/>
          </w:tcPr>
          <w:p w14:paraId="3707EA14">
            <w:pPr>
              <w:pStyle w:val="34"/>
              <w:spacing w:line="360" w:lineRule="auto"/>
              <w:ind w:firstLine="0" w:firstLineChars="0"/>
              <w:rPr>
                <w:rFonts w:ascii="黑体" w:hAnsi="黑体" w:eastAsia="黑体"/>
                <w:color w:val="auto"/>
                <w:kern w:val="2"/>
                <w:sz w:val="21"/>
                <w:szCs w:val="21"/>
                <w:highlight w:val="none"/>
              </w:rPr>
            </w:pPr>
          </w:p>
        </w:tc>
        <w:tc>
          <w:tcPr>
            <w:tcW w:w="5726" w:type="dxa"/>
            <w:vAlign w:val="top"/>
          </w:tcPr>
          <w:p w14:paraId="3B42A8E9">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r>
    </w:tbl>
    <w:p w14:paraId="0234D8A7">
      <w:pPr>
        <w:pStyle w:val="34"/>
        <w:spacing w:line="360" w:lineRule="auto"/>
        <w:ind w:firstLine="0" w:firstLineChars="0"/>
        <w:rPr>
          <w:rFonts w:ascii="黑体" w:hAnsi="黑体" w:eastAsia="黑体"/>
          <w:color w:val="auto"/>
          <w:sz w:val="21"/>
          <w:szCs w:val="21"/>
          <w:highlight w:val="none"/>
        </w:rPr>
      </w:pPr>
    </w:p>
    <w:p w14:paraId="5676DF9C">
      <w:pPr>
        <w:pStyle w:val="34"/>
        <w:spacing w:line="360" w:lineRule="auto"/>
        <w:ind w:firstLine="0" w:firstLineChars="0"/>
        <w:rPr>
          <w:rFonts w:ascii="黑体" w:hAnsi="黑体" w:eastAsia="黑体"/>
          <w:color w:val="auto"/>
          <w:sz w:val="21"/>
          <w:szCs w:val="21"/>
          <w:highlight w:val="none"/>
        </w:rPr>
      </w:pPr>
    </w:p>
    <w:p w14:paraId="1B6D78AB">
      <w:pPr>
        <w:spacing w:afterLines="50" w:line="360" w:lineRule="auto"/>
        <w:rPr>
          <w:rFonts w:ascii="黑体" w:hAnsi="黑体" w:eastAsia="黑体"/>
          <w:b/>
          <w:color w:val="auto"/>
          <w:szCs w:val="21"/>
          <w:highlight w:val="none"/>
        </w:rPr>
      </w:pPr>
      <w:r>
        <w:rPr>
          <w:rFonts w:hint="eastAsia" w:ascii="黑体" w:hAnsi="黑体" w:eastAsia="黑体"/>
          <w:b/>
          <w:color w:val="auto"/>
          <w:szCs w:val="21"/>
          <w:highlight w:val="none"/>
        </w:rPr>
        <w:t>须附：被授权人身份证正、反面复印件</w:t>
      </w:r>
    </w:p>
    <w:p w14:paraId="3414DE33">
      <w:pPr>
        <w:pStyle w:val="3"/>
        <w:pageBreakBefore/>
        <w:spacing w:line="415" w:lineRule="auto"/>
        <w:jc w:val="left"/>
        <w:rPr>
          <w:rStyle w:val="23"/>
          <w:rFonts w:ascii="黑体" w:hAnsi="黑体" w:eastAsia="黑体"/>
          <w:b/>
          <w:bCs w:val="0"/>
          <w:color w:val="auto"/>
          <w:spacing w:val="12"/>
          <w:sz w:val="21"/>
          <w:highlight w:val="none"/>
        </w:rPr>
      </w:pPr>
      <w:bookmarkStart w:id="43" w:name="_Toc391627761"/>
      <w:bookmarkStart w:id="44" w:name="_Toc405313965"/>
      <w:bookmarkStart w:id="45" w:name="_Toc23715275"/>
      <w:r>
        <w:rPr>
          <w:rStyle w:val="23"/>
          <w:rFonts w:hint="eastAsia" w:ascii="黑体" w:hAnsi="黑体" w:eastAsia="黑体"/>
          <w:b/>
          <w:bCs w:val="0"/>
          <w:color w:val="auto"/>
          <w:spacing w:val="12"/>
          <w:sz w:val="21"/>
          <w:highlight w:val="none"/>
        </w:rPr>
        <w:t>附件4  承诺书</w:t>
      </w:r>
      <w:bookmarkEnd w:id="43"/>
      <w:bookmarkEnd w:id="44"/>
      <w:bookmarkEnd w:id="45"/>
    </w:p>
    <w:p w14:paraId="75EF3629">
      <w:pPr>
        <w:spacing w:afterLines="100" w:line="360" w:lineRule="auto"/>
        <w:jc w:val="center"/>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承诺书</w:t>
      </w:r>
    </w:p>
    <w:p w14:paraId="4642D727">
      <w:pPr>
        <w:pStyle w:val="34"/>
        <w:ind w:firstLine="441"/>
        <w:rPr>
          <w:rFonts w:ascii="黑体" w:hAnsi="黑体" w:eastAsia="黑体"/>
          <w:color w:val="auto"/>
          <w:spacing w:val="2"/>
          <w:sz w:val="21"/>
          <w:szCs w:val="21"/>
          <w:highlight w:val="none"/>
        </w:rPr>
      </w:pPr>
      <w:bookmarkStart w:id="46" w:name="_Toc313537922"/>
      <w:r>
        <w:rPr>
          <w:rFonts w:ascii="黑体" w:hAnsi="黑体" w:eastAsia="黑体"/>
          <w:color w:val="auto"/>
          <w:spacing w:val="2"/>
          <w:sz w:val="21"/>
          <w:szCs w:val="21"/>
          <w:highlight w:val="none"/>
        </w:rPr>
        <w:t>我方已完整阅读了</w:t>
      </w:r>
      <w:r>
        <w:rPr>
          <w:rFonts w:ascii="黑体" w:hAnsi="黑体" w:eastAsia="黑体"/>
          <w:color w:val="auto"/>
          <w:spacing w:val="2"/>
          <w:sz w:val="21"/>
          <w:szCs w:val="21"/>
          <w:highlight w:val="none"/>
          <w:u w:val="single"/>
        </w:rPr>
        <w:t xml:space="preserve"> </w:t>
      </w:r>
      <w:r>
        <w:rPr>
          <w:rFonts w:hint="eastAsia" w:ascii="黑体" w:hAnsi="黑体" w:eastAsia="黑体"/>
          <w:color w:val="auto"/>
          <w:spacing w:val="2"/>
          <w:sz w:val="21"/>
          <w:szCs w:val="21"/>
          <w:highlight w:val="none"/>
          <w:u w:val="single"/>
        </w:rPr>
        <w:t xml:space="preserve"> </w:t>
      </w:r>
      <w:r>
        <w:rPr>
          <w:rFonts w:ascii="黑体" w:hAnsi="黑体" w:eastAsia="黑体"/>
          <w:color w:val="auto"/>
          <w:spacing w:val="2"/>
          <w:sz w:val="21"/>
          <w:szCs w:val="21"/>
          <w:highlight w:val="none"/>
          <w:u w:val="single"/>
        </w:rPr>
        <w:t xml:space="preserve"> </w:t>
      </w:r>
      <w:r>
        <w:rPr>
          <w:rFonts w:hint="eastAsia" w:ascii="黑体" w:hAnsi="黑体" w:eastAsia="黑体"/>
          <w:color w:val="auto"/>
          <w:spacing w:val="2"/>
          <w:sz w:val="21"/>
          <w:szCs w:val="21"/>
          <w:highlight w:val="none"/>
          <w:u w:val="single"/>
        </w:rPr>
        <w:t xml:space="preserve"> （</w:t>
      </w:r>
      <w:r>
        <w:rPr>
          <w:rFonts w:hint="eastAsia" w:ascii="黑体" w:hAnsi="黑体" w:eastAsia="黑体"/>
          <w:b/>
          <w:color w:val="auto"/>
          <w:spacing w:val="2"/>
          <w:sz w:val="21"/>
          <w:szCs w:val="21"/>
          <w:highlight w:val="none"/>
          <w:u w:val="single"/>
        </w:rPr>
        <w:t>项目名称</w:t>
      </w:r>
      <w:r>
        <w:rPr>
          <w:rFonts w:hint="eastAsia" w:ascii="黑体" w:hAnsi="黑体" w:eastAsia="黑体"/>
          <w:color w:val="auto"/>
          <w:spacing w:val="2"/>
          <w:sz w:val="21"/>
          <w:szCs w:val="21"/>
          <w:highlight w:val="none"/>
          <w:u w:val="single"/>
        </w:rPr>
        <w:t>）</w:t>
      </w:r>
      <w:r>
        <w:rPr>
          <w:rFonts w:ascii="黑体" w:hAnsi="黑体" w:eastAsia="黑体"/>
          <w:color w:val="auto"/>
          <w:spacing w:val="2"/>
          <w:sz w:val="21"/>
          <w:szCs w:val="21"/>
          <w:highlight w:val="none"/>
          <w:u w:val="single"/>
        </w:rPr>
        <w:t xml:space="preserve"> </w:t>
      </w:r>
      <w:r>
        <w:rPr>
          <w:rFonts w:hint="eastAsia" w:ascii="黑体" w:hAnsi="黑体" w:eastAsia="黑体"/>
          <w:color w:val="auto"/>
          <w:spacing w:val="2"/>
          <w:sz w:val="21"/>
          <w:szCs w:val="21"/>
          <w:highlight w:val="none"/>
          <w:u w:val="single"/>
        </w:rPr>
        <w:t xml:space="preserve"> </w:t>
      </w:r>
      <w:r>
        <w:rPr>
          <w:rFonts w:ascii="黑体" w:hAnsi="黑体" w:eastAsia="黑体"/>
          <w:color w:val="auto"/>
          <w:spacing w:val="2"/>
          <w:sz w:val="21"/>
          <w:szCs w:val="21"/>
          <w:highlight w:val="none"/>
          <w:u w:val="single"/>
        </w:rPr>
        <w:t xml:space="preserve"> </w:t>
      </w:r>
      <w:r>
        <w:rPr>
          <w:rFonts w:ascii="黑体" w:hAnsi="黑体" w:eastAsia="黑体"/>
          <w:color w:val="auto"/>
          <w:spacing w:val="2"/>
          <w:sz w:val="21"/>
          <w:szCs w:val="21"/>
          <w:highlight w:val="none"/>
        </w:rPr>
        <w:t>项目（</w:t>
      </w:r>
      <w:r>
        <w:rPr>
          <w:rFonts w:hint="eastAsia" w:ascii="黑体" w:hAnsi="黑体" w:eastAsia="黑体"/>
          <w:color w:val="auto"/>
          <w:spacing w:val="2"/>
          <w:sz w:val="21"/>
          <w:szCs w:val="21"/>
          <w:highlight w:val="none"/>
        </w:rPr>
        <w:t>项目</w:t>
      </w:r>
      <w:r>
        <w:rPr>
          <w:rFonts w:ascii="黑体" w:hAnsi="黑体" w:eastAsia="黑体"/>
          <w:color w:val="auto"/>
          <w:spacing w:val="2"/>
          <w:sz w:val="21"/>
          <w:szCs w:val="21"/>
          <w:highlight w:val="none"/>
        </w:rPr>
        <w:t>编号：</w:t>
      </w:r>
      <w:r>
        <w:rPr>
          <w:rFonts w:ascii="黑体" w:hAnsi="黑体" w:eastAsia="黑体"/>
          <w:color w:val="auto"/>
          <w:spacing w:val="2"/>
          <w:sz w:val="21"/>
          <w:szCs w:val="21"/>
          <w:highlight w:val="none"/>
          <w:u w:val="single"/>
        </w:rPr>
        <w:t xml:space="preserve">   </w:t>
      </w:r>
      <w:r>
        <w:rPr>
          <w:rFonts w:hint="eastAsia" w:ascii="黑体" w:hAnsi="黑体" w:eastAsia="黑体"/>
          <w:color w:val="auto"/>
          <w:spacing w:val="2"/>
          <w:sz w:val="21"/>
          <w:szCs w:val="21"/>
          <w:highlight w:val="none"/>
          <w:u w:val="single"/>
        </w:rPr>
        <w:t xml:space="preserve">    </w:t>
      </w:r>
      <w:r>
        <w:rPr>
          <w:rFonts w:ascii="黑体" w:hAnsi="黑体" w:eastAsia="黑体"/>
          <w:color w:val="auto"/>
          <w:spacing w:val="2"/>
          <w:sz w:val="21"/>
          <w:szCs w:val="21"/>
          <w:highlight w:val="none"/>
          <w:u w:val="single"/>
        </w:rPr>
        <w:t xml:space="preserve">     </w:t>
      </w:r>
      <w:r>
        <w:rPr>
          <w:rFonts w:ascii="黑体" w:hAnsi="黑体" w:eastAsia="黑体"/>
          <w:color w:val="auto"/>
          <w:spacing w:val="2"/>
          <w:sz w:val="21"/>
          <w:szCs w:val="21"/>
          <w:highlight w:val="none"/>
        </w:rPr>
        <w:t>）招标文件的所有内容（包括澄清，以及所有已提供的参考资料和有关附件），并完全理解上述文件所表达的意思，该项目递交投标文件时间截止后，我方承诺不再对上述文件内容进行询问或质疑。</w:t>
      </w:r>
      <w:bookmarkEnd w:id="46"/>
      <w:r>
        <w:rPr>
          <w:rFonts w:ascii="黑体" w:hAnsi="黑体" w:eastAsia="黑体"/>
          <w:color w:val="auto"/>
          <w:spacing w:val="2"/>
          <w:sz w:val="21"/>
          <w:szCs w:val="21"/>
          <w:highlight w:val="none"/>
        </w:rPr>
        <w:cr/>
      </w:r>
    </w:p>
    <w:p w14:paraId="4A483332">
      <w:pPr>
        <w:pStyle w:val="34"/>
        <w:ind w:firstLine="0" w:firstLineChars="0"/>
        <w:rPr>
          <w:rFonts w:ascii="黑体" w:hAnsi="黑体" w:eastAsia="黑体"/>
          <w:color w:val="auto"/>
          <w:spacing w:val="2"/>
          <w:sz w:val="21"/>
          <w:szCs w:val="21"/>
          <w:highlight w:val="none"/>
        </w:rPr>
      </w:pPr>
    </w:p>
    <w:p w14:paraId="390A0BC7">
      <w:pPr>
        <w:spacing w:line="360" w:lineRule="auto"/>
        <w:rPr>
          <w:rFonts w:ascii="黑体" w:hAnsi="黑体" w:eastAsia="黑体"/>
          <w:color w:val="auto"/>
          <w:szCs w:val="21"/>
          <w:highlight w:val="none"/>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35"/>
        <w:gridCol w:w="6293"/>
      </w:tblGrid>
      <w:tr w14:paraId="4979C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top"/>
          </w:tcPr>
          <w:p w14:paraId="57A17474">
            <w:pPr>
              <w:spacing w:line="360" w:lineRule="auto"/>
              <w:rPr>
                <w:rFonts w:ascii="黑体" w:hAnsi="黑体" w:eastAsia="黑体"/>
                <w:color w:val="auto"/>
                <w:szCs w:val="21"/>
                <w:highlight w:val="none"/>
              </w:rPr>
            </w:pPr>
          </w:p>
        </w:tc>
        <w:tc>
          <w:tcPr>
            <w:tcW w:w="6293" w:type="dxa"/>
            <w:vAlign w:val="top"/>
          </w:tcPr>
          <w:p w14:paraId="7AE57366">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r>
      <w:tr w14:paraId="1437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top"/>
          </w:tcPr>
          <w:p w14:paraId="0AE32850">
            <w:pPr>
              <w:spacing w:line="360" w:lineRule="auto"/>
              <w:rPr>
                <w:rFonts w:ascii="黑体" w:hAnsi="黑体" w:eastAsia="黑体"/>
                <w:color w:val="auto"/>
                <w:szCs w:val="21"/>
                <w:highlight w:val="none"/>
              </w:rPr>
            </w:pPr>
          </w:p>
        </w:tc>
        <w:tc>
          <w:tcPr>
            <w:tcW w:w="6293" w:type="dxa"/>
            <w:vAlign w:val="top"/>
          </w:tcPr>
          <w:p w14:paraId="0C34CFCD">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投标人法定(负责人)代表人或被授权人（签名或盖私章）：</w:t>
            </w:r>
            <w:r>
              <w:rPr>
                <w:rFonts w:hint="eastAsia" w:ascii="黑体" w:hAnsi="黑体" w:eastAsia="黑体"/>
                <w:color w:val="auto"/>
                <w:szCs w:val="21"/>
                <w:highlight w:val="none"/>
                <w:u w:val="single"/>
              </w:rPr>
              <w:t xml:space="preserve">        </w:t>
            </w:r>
          </w:p>
        </w:tc>
      </w:tr>
      <w:tr w14:paraId="63BAD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top"/>
          </w:tcPr>
          <w:p w14:paraId="6C9E1AB3">
            <w:pPr>
              <w:spacing w:line="360" w:lineRule="auto"/>
              <w:rPr>
                <w:rFonts w:ascii="黑体" w:hAnsi="黑体" w:eastAsia="黑体"/>
                <w:color w:val="auto"/>
                <w:szCs w:val="21"/>
                <w:highlight w:val="none"/>
              </w:rPr>
            </w:pPr>
          </w:p>
        </w:tc>
        <w:tc>
          <w:tcPr>
            <w:tcW w:w="6293" w:type="dxa"/>
            <w:vAlign w:val="top"/>
          </w:tcPr>
          <w:p w14:paraId="03CDC01E">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r>
    </w:tbl>
    <w:p w14:paraId="5F514F41">
      <w:pPr>
        <w:spacing w:line="360" w:lineRule="auto"/>
        <w:rPr>
          <w:rFonts w:ascii="黑体" w:hAnsi="黑体" w:eastAsia="黑体"/>
          <w:color w:val="auto"/>
          <w:szCs w:val="21"/>
          <w:highlight w:val="none"/>
        </w:rPr>
      </w:pPr>
    </w:p>
    <w:p w14:paraId="52B85188">
      <w:pPr>
        <w:pStyle w:val="3"/>
        <w:pageBreakBefore/>
        <w:spacing w:line="415" w:lineRule="auto"/>
        <w:jc w:val="left"/>
        <w:rPr>
          <w:rStyle w:val="23"/>
          <w:rFonts w:ascii="黑体" w:hAnsi="黑体" w:eastAsia="黑体"/>
          <w:b/>
          <w:bCs w:val="0"/>
          <w:color w:val="auto"/>
          <w:spacing w:val="12"/>
          <w:sz w:val="21"/>
          <w:highlight w:val="none"/>
        </w:rPr>
      </w:pPr>
      <w:bookmarkStart w:id="47" w:name="_Toc405313967"/>
      <w:bookmarkStart w:id="48" w:name="_Toc23715277"/>
      <w:bookmarkStart w:id="49" w:name="_Toc391627763"/>
      <w:r>
        <w:rPr>
          <w:rStyle w:val="23"/>
          <w:rFonts w:hint="eastAsia" w:ascii="黑体" w:hAnsi="黑体" w:eastAsia="黑体"/>
          <w:b/>
          <w:bCs w:val="0"/>
          <w:color w:val="auto"/>
          <w:spacing w:val="12"/>
          <w:sz w:val="21"/>
          <w:highlight w:val="none"/>
        </w:rPr>
        <w:t>附件5  商务差异表</w:t>
      </w:r>
      <w:bookmarkEnd w:id="47"/>
      <w:bookmarkEnd w:id="48"/>
      <w:bookmarkEnd w:id="49"/>
    </w:p>
    <w:p w14:paraId="433D67B0">
      <w:pPr>
        <w:spacing w:afterLines="100" w:line="360" w:lineRule="auto"/>
        <w:jc w:val="center"/>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商务差异表</w:t>
      </w: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
        <w:gridCol w:w="2567"/>
        <w:gridCol w:w="2700"/>
        <w:gridCol w:w="1409"/>
        <w:gridCol w:w="1030"/>
      </w:tblGrid>
      <w:tr w14:paraId="5D65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528" w:type="dxa"/>
            <w:gridSpan w:val="5"/>
            <w:vAlign w:val="center"/>
          </w:tcPr>
          <w:p w14:paraId="0AB78953">
            <w:pPr>
              <w:spacing w:line="360" w:lineRule="auto"/>
              <w:jc w:val="left"/>
              <w:rPr>
                <w:rFonts w:ascii="黑体" w:hAnsi="黑体" w:eastAsia="黑体"/>
                <w:b/>
                <w:bCs/>
                <w:color w:val="auto"/>
                <w:szCs w:val="21"/>
                <w:highlight w:val="none"/>
              </w:rPr>
            </w:pPr>
            <w:r>
              <w:rPr>
                <w:rFonts w:hint="eastAsia" w:ascii="黑体" w:hAnsi="黑体" w:eastAsia="黑体"/>
                <w:b/>
                <w:bCs/>
                <w:color w:val="auto"/>
                <w:szCs w:val="21"/>
                <w:highlight w:val="none"/>
              </w:rPr>
              <w:t>项目名称：</w:t>
            </w:r>
            <w:r>
              <w:rPr>
                <w:rFonts w:hint="eastAsia" w:ascii="黑体" w:hAnsi="黑体" w:eastAsia="黑体"/>
                <w:b/>
                <w:bCs/>
                <w:color w:val="auto"/>
                <w:szCs w:val="21"/>
                <w:highlight w:val="none"/>
                <w:u w:val="single"/>
              </w:rPr>
              <w:t xml:space="preserve">                              </w:t>
            </w:r>
            <w:r>
              <w:rPr>
                <w:rFonts w:hint="eastAsia" w:ascii="黑体" w:hAnsi="黑体" w:eastAsia="黑体"/>
                <w:b/>
                <w:bCs/>
                <w:color w:val="auto"/>
                <w:szCs w:val="21"/>
                <w:highlight w:val="none"/>
              </w:rPr>
              <w:t xml:space="preserve">     </w:t>
            </w:r>
            <w:r>
              <w:rPr>
                <w:rFonts w:hint="eastAsia" w:ascii="黑体" w:hAnsi="黑体" w:eastAsia="黑体"/>
                <w:b/>
                <w:color w:val="auto"/>
                <w:szCs w:val="21"/>
                <w:highlight w:val="none"/>
              </w:rPr>
              <w:t>项目编号：</w:t>
            </w:r>
            <w:r>
              <w:rPr>
                <w:rFonts w:hint="eastAsia" w:ascii="黑体" w:hAnsi="黑体" w:eastAsia="黑体"/>
                <w:b/>
                <w:color w:val="auto"/>
                <w:szCs w:val="21"/>
                <w:highlight w:val="none"/>
                <w:u w:val="single"/>
              </w:rPr>
              <w:t xml:space="preserve">                      </w:t>
            </w:r>
          </w:p>
        </w:tc>
      </w:tr>
      <w:tr w14:paraId="0159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22" w:type="dxa"/>
            <w:vAlign w:val="center"/>
          </w:tcPr>
          <w:p w14:paraId="71A323CD">
            <w:pPr>
              <w:jc w:val="center"/>
              <w:rPr>
                <w:rFonts w:ascii="黑体" w:hAnsi="黑体" w:eastAsia="黑体"/>
                <w:b/>
                <w:bCs/>
                <w:color w:val="auto"/>
                <w:szCs w:val="21"/>
                <w:highlight w:val="none"/>
              </w:rPr>
            </w:pPr>
            <w:r>
              <w:rPr>
                <w:rFonts w:hint="eastAsia" w:ascii="黑体" w:hAnsi="黑体" w:eastAsia="黑体"/>
                <w:b/>
                <w:bCs/>
                <w:color w:val="auto"/>
                <w:szCs w:val="21"/>
                <w:highlight w:val="none"/>
              </w:rPr>
              <w:t>序号</w:t>
            </w:r>
          </w:p>
        </w:tc>
        <w:tc>
          <w:tcPr>
            <w:tcW w:w="2567" w:type="dxa"/>
            <w:vAlign w:val="center"/>
          </w:tcPr>
          <w:p w14:paraId="638C2647">
            <w:pPr>
              <w:jc w:val="center"/>
              <w:rPr>
                <w:rFonts w:ascii="黑体" w:hAnsi="黑体" w:eastAsia="黑体"/>
                <w:b/>
                <w:bCs/>
                <w:color w:val="auto"/>
                <w:szCs w:val="21"/>
                <w:highlight w:val="none"/>
              </w:rPr>
            </w:pPr>
            <w:r>
              <w:rPr>
                <w:rFonts w:hint="eastAsia" w:ascii="黑体" w:hAnsi="黑体" w:eastAsia="黑体"/>
                <w:b/>
                <w:bCs/>
                <w:color w:val="auto"/>
                <w:szCs w:val="21"/>
                <w:highlight w:val="none"/>
              </w:rPr>
              <w:t>招标文件要求</w:t>
            </w:r>
          </w:p>
        </w:tc>
        <w:tc>
          <w:tcPr>
            <w:tcW w:w="2700" w:type="dxa"/>
            <w:vAlign w:val="center"/>
          </w:tcPr>
          <w:p w14:paraId="01A6DDEA">
            <w:pPr>
              <w:jc w:val="center"/>
              <w:rPr>
                <w:rFonts w:ascii="黑体" w:hAnsi="黑体" w:eastAsia="黑体"/>
                <w:b/>
                <w:bCs/>
                <w:color w:val="auto"/>
                <w:szCs w:val="21"/>
                <w:highlight w:val="none"/>
              </w:rPr>
            </w:pPr>
            <w:r>
              <w:rPr>
                <w:rFonts w:hint="eastAsia" w:ascii="黑体" w:hAnsi="黑体" w:eastAsia="黑体"/>
                <w:b/>
                <w:bCs/>
                <w:color w:val="auto"/>
                <w:szCs w:val="21"/>
                <w:highlight w:val="none"/>
              </w:rPr>
              <w:t>投标文件响应内容</w:t>
            </w:r>
          </w:p>
        </w:tc>
        <w:tc>
          <w:tcPr>
            <w:tcW w:w="1409" w:type="dxa"/>
            <w:vAlign w:val="center"/>
          </w:tcPr>
          <w:p w14:paraId="2B16F156">
            <w:pPr>
              <w:spacing w:line="360" w:lineRule="auto"/>
              <w:jc w:val="center"/>
              <w:rPr>
                <w:rFonts w:ascii="黑体" w:hAnsi="黑体" w:eastAsia="黑体"/>
                <w:b/>
                <w:bCs/>
                <w:color w:val="auto"/>
                <w:szCs w:val="21"/>
                <w:highlight w:val="none"/>
              </w:rPr>
            </w:pPr>
            <w:r>
              <w:rPr>
                <w:rFonts w:hint="eastAsia" w:ascii="黑体" w:hAnsi="黑体" w:eastAsia="黑体"/>
                <w:b/>
                <w:bCs/>
                <w:color w:val="auto"/>
                <w:szCs w:val="21"/>
                <w:highlight w:val="none"/>
              </w:rPr>
              <w:t>偏离情况</w:t>
            </w:r>
          </w:p>
        </w:tc>
        <w:tc>
          <w:tcPr>
            <w:tcW w:w="1030" w:type="dxa"/>
            <w:vAlign w:val="center"/>
          </w:tcPr>
          <w:p w14:paraId="3C47DED7">
            <w:pPr>
              <w:spacing w:line="360" w:lineRule="auto"/>
              <w:jc w:val="center"/>
              <w:rPr>
                <w:rFonts w:ascii="黑体" w:hAnsi="黑体" w:eastAsia="黑体"/>
                <w:b/>
                <w:bCs/>
                <w:color w:val="auto"/>
                <w:szCs w:val="21"/>
                <w:highlight w:val="none"/>
              </w:rPr>
            </w:pPr>
            <w:r>
              <w:rPr>
                <w:rFonts w:hint="eastAsia" w:ascii="黑体" w:hAnsi="黑体" w:eastAsia="黑体"/>
                <w:b/>
                <w:bCs/>
                <w:color w:val="auto"/>
                <w:szCs w:val="21"/>
                <w:highlight w:val="none"/>
              </w:rPr>
              <w:t>说明</w:t>
            </w:r>
          </w:p>
        </w:tc>
      </w:tr>
      <w:tr w14:paraId="0C68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22" w:type="dxa"/>
            <w:vAlign w:val="center"/>
          </w:tcPr>
          <w:p w14:paraId="6D3AD944">
            <w:pPr>
              <w:spacing w:line="360" w:lineRule="auto"/>
              <w:jc w:val="center"/>
              <w:rPr>
                <w:rFonts w:ascii="黑体" w:hAnsi="黑体" w:eastAsia="黑体"/>
                <w:color w:val="auto"/>
                <w:szCs w:val="21"/>
                <w:highlight w:val="none"/>
              </w:rPr>
            </w:pPr>
          </w:p>
        </w:tc>
        <w:tc>
          <w:tcPr>
            <w:tcW w:w="2567" w:type="dxa"/>
            <w:vAlign w:val="center"/>
          </w:tcPr>
          <w:p w14:paraId="340ED18B">
            <w:pPr>
              <w:spacing w:line="360" w:lineRule="auto"/>
              <w:jc w:val="center"/>
              <w:rPr>
                <w:rFonts w:ascii="黑体" w:hAnsi="黑体" w:eastAsia="黑体"/>
                <w:color w:val="auto"/>
                <w:szCs w:val="21"/>
                <w:highlight w:val="none"/>
              </w:rPr>
            </w:pPr>
          </w:p>
        </w:tc>
        <w:tc>
          <w:tcPr>
            <w:tcW w:w="2700" w:type="dxa"/>
            <w:vAlign w:val="center"/>
          </w:tcPr>
          <w:p w14:paraId="28D8FB48">
            <w:pPr>
              <w:pStyle w:val="15"/>
              <w:jc w:val="center"/>
              <w:rPr>
                <w:rFonts w:ascii="黑体" w:hAnsi="黑体"/>
                <w:color w:val="auto"/>
                <w:highlight w:val="none"/>
              </w:rPr>
            </w:pPr>
          </w:p>
        </w:tc>
        <w:tc>
          <w:tcPr>
            <w:tcW w:w="1409" w:type="dxa"/>
            <w:vAlign w:val="center"/>
          </w:tcPr>
          <w:p w14:paraId="4B8B76D1">
            <w:pPr>
              <w:spacing w:line="360" w:lineRule="auto"/>
              <w:jc w:val="center"/>
              <w:rPr>
                <w:rFonts w:ascii="黑体" w:hAnsi="黑体" w:eastAsia="黑体"/>
                <w:color w:val="auto"/>
                <w:szCs w:val="21"/>
                <w:highlight w:val="none"/>
              </w:rPr>
            </w:pPr>
          </w:p>
        </w:tc>
        <w:tc>
          <w:tcPr>
            <w:tcW w:w="1030" w:type="dxa"/>
            <w:vAlign w:val="center"/>
          </w:tcPr>
          <w:p w14:paraId="4CD102EE">
            <w:pPr>
              <w:spacing w:line="360" w:lineRule="auto"/>
              <w:jc w:val="center"/>
              <w:rPr>
                <w:rFonts w:ascii="黑体" w:hAnsi="黑体" w:eastAsia="黑体"/>
                <w:color w:val="auto"/>
                <w:szCs w:val="21"/>
                <w:highlight w:val="none"/>
              </w:rPr>
            </w:pPr>
          </w:p>
        </w:tc>
      </w:tr>
      <w:tr w14:paraId="17DB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22" w:type="dxa"/>
            <w:vAlign w:val="center"/>
          </w:tcPr>
          <w:p w14:paraId="2CA34223">
            <w:pPr>
              <w:spacing w:line="360" w:lineRule="auto"/>
              <w:jc w:val="center"/>
              <w:rPr>
                <w:rFonts w:ascii="黑体" w:hAnsi="黑体" w:eastAsia="黑体"/>
                <w:color w:val="auto"/>
                <w:szCs w:val="21"/>
                <w:highlight w:val="none"/>
              </w:rPr>
            </w:pPr>
          </w:p>
        </w:tc>
        <w:tc>
          <w:tcPr>
            <w:tcW w:w="2567" w:type="dxa"/>
            <w:vAlign w:val="center"/>
          </w:tcPr>
          <w:p w14:paraId="0A8802DB">
            <w:pPr>
              <w:spacing w:line="360" w:lineRule="auto"/>
              <w:jc w:val="center"/>
              <w:rPr>
                <w:rFonts w:ascii="黑体" w:hAnsi="黑体" w:eastAsia="黑体"/>
                <w:color w:val="auto"/>
                <w:szCs w:val="21"/>
                <w:highlight w:val="none"/>
              </w:rPr>
            </w:pPr>
          </w:p>
        </w:tc>
        <w:tc>
          <w:tcPr>
            <w:tcW w:w="2700" w:type="dxa"/>
            <w:vAlign w:val="center"/>
          </w:tcPr>
          <w:p w14:paraId="2652571D">
            <w:pPr>
              <w:spacing w:line="360" w:lineRule="auto"/>
              <w:jc w:val="center"/>
              <w:rPr>
                <w:rFonts w:ascii="黑体" w:hAnsi="黑体" w:eastAsia="黑体"/>
                <w:color w:val="auto"/>
                <w:szCs w:val="21"/>
                <w:highlight w:val="none"/>
              </w:rPr>
            </w:pPr>
          </w:p>
        </w:tc>
        <w:tc>
          <w:tcPr>
            <w:tcW w:w="1409" w:type="dxa"/>
            <w:vAlign w:val="center"/>
          </w:tcPr>
          <w:p w14:paraId="7D1CEB17">
            <w:pPr>
              <w:spacing w:line="360" w:lineRule="auto"/>
              <w:jc w:val="center"/>
              <w:rPr>
                <w:rFonts w:ascii="黑体" w:hAnsi="黑体" w:eastAsia="黑体"/>
                <w:color w:val="auto"/>
                <w:szCs w:val="21"/>
                <w:highlight w:val="none"/>
              </w:rPr>
            </w:pPr>
          </w:p>
        </w:tc>
        <w:tc>
          <w:tcPr>
            <w:tcW w:w="1030" w:type="dxa"/>
            <w:vAlign w:val="center"/>
          </w:tcPr>
          <w:p w14:paraId="0F7B29AE">
            <w:pPr>
              <w:spacing w:line="360" w:lineRule="auto"/>
              <w:jc w:val="center"/>
              <w:rPr>
                <w:rFonts w:ascii="黑体" w:hAnsi="黑体" w:eastAsia="黑体"/>
                <w:color w:val="auto"/>
                <w:szCs w:val="21"/>
                <w:highlight w:val="none"/>
              </w:rPr>
            </w:pPr>
          </w:p>
        </w:tc>
      </w:tr>
      <w:tr w14:paraId="0264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22" w:type="dxa"/>
            <w:vAlign w:val="center"/>
          </w:tcPr>
          <w:p w14:paraId="76E62515">
            <w:pPr>
              <w:spacing w:line="360" w:lineRule="auto"/>
              <w:jc w:val="center"/>
              <w:rPr>
                <w:rFonts w:ascii="黑体" w:hAnsi="黑体" w:eastAsia="黑体"/>
                <w:color w:val="auto"/>
                <w:szCs w:val="21"/>
                <w:highlight w:val="none"/>
              </w:rPr>
            </w:pPr>
          </w:p>
        </w:tc>
        <w:tc>
          <w:tcPr>
            <w:tcW w:w="2567" w:type="dxa"/>
            <w:vAlign w:val="center"/>
          </w:tcPr>
          <w:p w14:paraId="5E9C11F9">
            <w:pPr>
              <w:spacing w:line="360" w:lineRule="auto"/>
              <w:jc w:val="center"/>
              <w:rPr>
                <w:rFonts w:ascii="黑体" w:hAnsi="黑体" w:eastAsia="黑体"/>
                <w:color w:val="auto"/>
                <w:szCs w:val="21"/>
                <w:highlight w:val="none"/>
              </w:rPr>
            </w:pPr>
          </w:p>
        </w:tc>
        <w:tc>
          <w:tcPr>
            <w:tcW w:w="2700" w:type="dxa"/>
            <w:vAlign w:val="center"/>
          </w:tcPr>
          <w:p w14:paraId="104F4A19">
            <w:pPr>
              <w:spacing w:line="360" w:lineRule="auto"/>
              <w:jc w:val="center"/>
              <w:rPr>
                <w:rFonts w:ascii="黑体" w:hAnsi="黑体" w:eastAsia="黑体"/>
                <w:color w:val="auto"/>
                <w:szCs w:val="21"/>
                <w:highlight w:val="none"/>
              </w:rPr>
            </w:pPr>
          </w:p>
        </w:tc>
        <w:tc>
          <w:tcPr>
            <w:tcW w:w="1409" w:type="dxa"/>
            <w:vAlign w:val="center"/>
          </w:tcPr>
          <w:p w14:paraId="5F420DE9">
            <w:pPr>
              <w:spacing w:line="360" w:lineRule="auto"/>
              <w:jc w:val="center"/>
              <w:rPr>
                <w:rFonts w:ascii="黑体" w:hAnsi="黑体" w:eastAsia="黑体"/>
                <w:color w:val="auto"/>
                <w:szCs w:val="21"/>
                <w:highlight w:val="none"/>
              </w:rPr>
            </w:pPr>
          </w:p>
        </w:tc>
        <w:tc>
          <w:tcPr>
            <w:tcW w:w="1030" w:type="dxa"/>
            <w:vAlign w:val="center"/>
          </w:tcPr>
          <w:p w14:paraId="5A63EDCA">
            <w:pPr>
              <w:spacing w:line="360" w:lineRule="auto"/>
              <w:jc w:val="center"/>
              <w:rPr>
                <w:rFonts w:ascii="黑体" w:hAnsi="黑体" w:eastAsia="黑体"/>
                <w:color w:val="auto"/>
                <w:szCs w:val="21"/>
                <w:highlight w:val="none"/>
              </w:rPr>
            </w:pPr>
          </w:p>
        </w:tc>
      </w:tr>
      <w:tr w14:paraId="3DCA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22" w:type="dxa"/>
            <w:vAlign w:val="center"/>
          </w:tcPr>
          <w:p w14:paraId="6FA607AE">
            <w:pPr>
              <w:spacing w:line="360" w:lineRule="auto"/>
              <w:jc w:val="center"/>
              <w:rPr>
                <w:rFonts w:ascii="黑体" w:hAnsi="黑体" w:eastAsia="黑体"/>
                <w:color w:val="auto"/>
                <w:szCs w:val="21"/>
                <w:highlight w:val="none"/>
              </w:rPr>
            </w:pPr>
          </w:p>
        </w:tc>
        <w:tc>
          <w:tcPr>
            <w:tcW w:w="2567" w:type="dxa"/>
            <w:vAlign w:val="center"/>
          </w:tcPr>
          <w:p w14:paraId="40B28AD7">
            <w:pPr>
              <w:spacing w:line="360" w:lineRule="auto"/>
              <w:jc w:val="center"/>
              <w:rPr>
                <w:rFonts w:ascii="黑体" w:hAnsi="黑体" w:eastAsia="黑体"/>
                <w:color w:val="auto"/>
                <w:szCs w:val="21"/>
                <w:highlight w:val="none"/>
              </w:rPr>
            </w:pPr>
          </w:p>
        </w:tc>
        <w:tc>
          <w:tcPr>
            <w:tcW w:w="2700" w:type="dxa"/>
            <w:vAlign w:val="center"/>
          </w:tcPr>
          <w:p w14:paraId="2F555BA1">
            <w:pPr>
              <w:spacing w:line="360" w:lineRule="auto"/>
              <w:jc w:val="center"/>
              <w:rPr>
                <w:rFonts w:ascii="黑体" w:hAnsi="黑体" w:eastAsia="黑体"/>
                <w:color w:val="auto"/>
                <w:szCs w:val="21"/>
                <w:highlight w:val="none"/>
              </w:rPr>
            </w:pPr>
          </w:p>
        </w:tc>
        <w:tc>
          <w:tcPr>
            <w:tcW w:w="1409" w:type="dxa"/>
            <w:vAlign w:val="center"/>
          </w:tcPr>
          <w:p w14:paraId="7A5A1C6F">
            <w:pPr>
              <w:spacing w:line="360" w:lineRule="auto"/>
              <w:jc w:val="center"/>
              <w:rPr>
                <w:rFonts w:ascii="黑体" w:hAnsi="黑体" w:eastAsia="黑体"/>
                <w:color w:val="auto"/>
                <w:szCs w:val="21"/>
                <w:highlight w:val="none"/>
              </w:rPr>
            </w:pPr>
          </w:p>
        </w:tc>
        <w:tc>
          <w:tcPr>
            <w:tcW w:w="1030" w:type="dxa"/>
            <w:vAlign w:val="center"/>
          </w:tcPr>
          <w:p w14:paraId="3726BA86">
            <w:pPr>
              <w:spacing w:line="360" w:lineRule="auto"/>
              <w:jc w:val="center"/>
              <w:rPr>
                <w:rFonts w:ascii="黑体" w:hAnsi="黑体" w:eastAsia="黑体"/>
                <w:color w:val="auto"/>
                <w:szCs w:val="21"/>
                <w:highlight w:val="none"/>
              </w:rPr>
            </w:pPr>
          </w:p>
        </w:tc>
      </w:tr>
      <w:tr w14:paraId="4174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22" w:type="dxa"/>
            <w:vAlign w:val="center"/>
          </w:tcPr>
          <w:p w14:paraId="33A18612">
            <w:pPr>
              <w:spacing w:line="360" w:lineRule="auto"/>
              <w:jc w:val="center"/>
              <w:rPr>
                <w:rFonts w:ascii="黑体" w:hAnsi="黑体" w:eastAsia="黑体"/>
                <w:color w:val="auto"/>
                <w:szCs w:val="21"/>
                <w:highlight w:val="none"/>
              </w:rPr>
            </w:pPr>
          </w:p>
        </w:tc>
        <w:tc>
          <w:tcPr>
            <w:tcW w:w="2567" w:type="dxa"/>
            <w:vAlign w:val="center"/>
          </w:tcPr>
          <w:p w14:paraId="30572BB2">
            <w:pPr>
              <w:spacing w:line="360" w:lineRule="auto"/>
              <w:jc w:val="center"/>
              <w:rPr>
                <w:rFonts w:ascii="黑体" w:hAnsi="黑体" w:eastAsia="黑体"/>
                <w:color w:val="auto"/>
                <w:szCs w:val="21"/>
                <w:highlight w:val="none"/>
              </w:rPr>
            </w:pPr>
          </w:p>
        </w:tc>
        <w:tc>
          <w:tcPr>
            <w:tcW w:w="2700" w:type="dxa"/>
            <w:vAlign w:val="center"/>
          </w:tcPr>
          <w:p w14:paraId="7F693087">
            <w:pPr>
              <w:spacing w:line="360" w:lineRule="auto"/>
              <w:jc w:val="center"/>
              <w:rPr>
                <w:rFonts w:ascii="黑体" w:hAnsi="黑体" w:eastAsia="黑体"/>
                <w:color w:val="auto"/>
                <w:szCs w:val="21"/>
                <w:highlight w:val="none"/>
              </w:rPr>
            </w:pPr>
          </w:p>
        </w:tc>
        <w:tc>
          <w:tcPr>
            <w:tcW w:w="1409" w:type="dxa"/>
            <w:vAlign w:val="center"/>
          </w:tcPr>
          <w:p w14:paraId="5C2D793D">
            <w:pPr>
              <w:spacing w:line="360" w:lineRule="auto"/>
              <w:jc w:val="center"/>
              <w:rPr>
                <w:rFonts w:ascii="黑体" w:hAnsi="黑体" w:eastAsia="黑体"/>
                <w:color w:val="auto"/>
                <w:szCs w:val="21"/>
                <w:highlight w:val="none"/>
              </w:rPr>
            </w:pPr>
          </w:p>
        </w:tc>
        <w:tc>
          <w:tcPr>
            <w:tcW w:w="1030" w:type="dxa"/>
            <w:vAlign w:val="center"/>
          </w:tcPr>
          <w:p w14:paraId="6E7918F0">
            <w:pPr>
              <w:spacing w:line="360" w:lineRule="auto"/>
              <w:jc w:val="center"/>
              <w:rPr>
                <w:rFonts w:ascii="黑体" w:hAnsi="黑体" w:eastAsia="黑体"/>
                <w:color w:val="auto"/>
                <w:szCs w:val="21"/>
                <w:highlight w:val="none"/>
              </w:rPr>
            </w:pPr>
          </w:p>
        </w:tc>
      </w:tr>
      <w:tr w14:paraId="2055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22" w:type="dxa"/>
            <w:vAlign w:val="center"/>
          </w:tcPr>
          <w:p w14:paraId="7F874819">
            <w:pPr>
              <w:spacing w:line="360" w:lineRule="auto"/>
              <w:jc w:val="center"/>
              <w:rPr>
                <w:rFonts w:ascii="黑体" w:hAnsi="黑体" w:eastAsia="黑体"/>
                <w:color w:val="auto"/>
                <w:szCs w:val="21"/>
                <w:highlight w:val="none"/>
              </w:rPr>
            </w:pPr>
          </w:p>
        </w:tc>
        <w:tc>
          <w:tcPr>
            <w:tcW w:w="2567" w:type="dxa"/>
            <w:vAlign w:val="center"/>
          </w:tcPr>
          <w:p w14:paraId="4FD5AED5">
            <w:pPr>
              <w:spacing w:line="360" w:lineRule="auto"/>
              <w:jc w:val="center"/>
              <w:rPr>
                <w:rFonts w:ascii="黑体" w:hAnsi="黑体" w:eastAsia="黑体"/>
                <w:color w:val="auto"/>
                <w:szCs w:val="21"/>
                <w:highlight w:val="none"/>
              </w:rPr>
            </w:pPr>
          </w:p>
        </w:tc>
        <w:tc>
          <w:tcPr>
            <w:tcW w:w="2700" w:type="dxa"/>
            <w:vAlign w:val="center"/>
          </w:tcPr>
          <w:p w14:paraId="7B196D53">
            <w:pPr>
              <w:spacing w:line="360" w:lineRule="auto"/>
              <w:jc w:val="center"/>
              <w:rPr>
                <w:rFonts w:ascii="黑体" w:hAnsi="黑体" w:eastAsia="黑体"/>
                <w:color w:val="auto"/>
                <w:szCs w:val="21"/>
                <w:highlight w:val="none"/>
              </w:rPr>
            </w:pPr>
          </w:p>
        </w:tc>
        <w:tc>
          <w:tcPr>
            <w:tcW w:w="1409" w:type="dxa"/>
            <w:vAlign w:val="center"/>
          </w:tcPr>
          <w:p w14:paraId="6E65F7AE">
            <w:pPr>
              <w:spacing w:line="360" w:lineRule="auto"/>
              <w:jc w:val="center"/>
              <w:rPr>
                <w:rFonts w:ascii="黑体" w:hAnsi="黑体" w:eastAsia="黑体"/>
                <w:color w:val="auto"/>
                <w:szCs w:val="21"/>
                <w:highlight w:val="none"/>
              </w:rPr>
            </w:pPr>
          </w:p>
        </w:tc>
        <w:tc>
          <w:tcPr>
            <w:tcW w:w="1030" w:type="dxa"/>
            <w:vAlign w:val="center"/>
          </w:tcPr>
          <w:p w14:paraId="2D3DED75">
            <w:pPr>
              <w:spacing w:line="360" w:lineRule="auto"/>
              <w:jc w:val="center"/>
              <w:rPr>
                <w:rFonts w:ascii="黑体" w:hAnsi="黑体" w:eastAsia="黑体"/>
                <w:color w:val="auto"/>
                <w:szCs w:val="21"/>
                <w:highlight w:val="none"/>
              </w:rPr>
            </w:pPr>
          </w:p>
        </w:tc>
      </w:tr>
    </w:tbl>
    <w:p w14:paraId="45558DBB">
      <w:pPr>
        <w:spacing w:beforeLines="50" w:line="360" w:lineRule="auto"/>
        <w:rPr>
          <w:rFonts w:ascii="黑体" w:hAnsi="黑体" w:eastAsia="黑体"/>
          <w:color w:val="auto"/>
          <w:szCs w:val="21"/>
          <w:highlight w:val="none"/>
        </w:rPr>
      </w:pPr>
      <w:r>
        <w:rPr>
          <w:rFonts w:hint="eastAsia" w:ascii="黑体" w:hAnsi="黑体" w:eastAsia="黑体"/>
          <w:color w:val="auto"/>
          <w:szCs w:val="21"/>
          <w:highlight w:val="none"/>
        </w:rPr>
        <w:t>注明：</w:t>
      </w:r>
    </w:p>
    <w:p w14:paraId="61CE35FD">
      <w:pPr>
        <w:pStyle w:val="32"/>
        <w:numPr>
          <w:ilvl w:val="0"/>
          <w:numId w:val="69"/>
        </w:numPr>
        <w:spacing w:line="360" w:lineRule="auto"/>
        <w:ind w:firstLineChars="0"/>
        <w:rPr>
          <w:rFonts w:ascii="黑体" w:hAnsi="黑体" w:eastAsia="黑体"/>
          <w:color w:val="auto"/>
          <w:szCs w:val="21"/>
          <w:highlight w:val="none"/>
        </w:rPr>
      </w:pPr>
      <w:r>
        <w:rPr>
          <w:rFonts w:hint="eastAsia" w:ascii="黑体" w:hAnsi="黑体" w:eastAsia="黑体"/>
          <w:bCs/>
          <w:color w:val="auto"/>
          <w:szCs w:val="21"/>
          <w:highlight w:val="none"/>
        </w:rPr>
        <w:t>偏离情况项填写“正”、“负”或“无”，说明项中填写原因。</w:t>
      </w:r>
    </w:p>
    <w:p w14:paraId="085C9341">
      <w:pPr>
        <w:pStyle w:val="32"/>
        <w:numPr>
          <w:ilvl w:val="0"/>
          <w:numId w:val="69"/>
        </w:numPr>
        <w:spacing w:line="360" w:lineRule="auto"/>
        <w:ind w:firstLineChars="0"/>
        <w:rPr>
          <w:rFonts w:ascii="黑体" w:hAnsi="黑体" w:eastAsia="黑体"/>
          <w:bCs/>
          <w:color w:val="auto"/>
          <w:szCs w:val="21"/>
          <w:highlight w:val="none"/>
        </w:rPr>
      </w:pPr>
      <w:r>
        <w:rPr>
          <w:rFonts w:hint="eastAsia" w:ascii="黑体" w:hAnsi="黑体" w:eastAsia="黑体"/>
          <w:bCs/>
          <w:color w:val="auto"/>
          <w:szCs w:val="21"/>
          <w:highlight w:val="none"/>
        </w:rPr>
        <w:t>投标人应按照招标文件要求，根据"用户需求书"商务内容及合同文本作出全面响应。对响应有偏离的，则说明偏离的内容。"用户需求书"商务内容中若有要求提供相关证明资料的，须按要求提供，否则视为负偏离。</w:t>
      </w:r>
    </w:p>
    <w:p w14:paraId="41A8EEFA">
      <w:pPr>
        <w:spacing w:line="360" w:lineRule="auto"/>
        <w:rPr>
          <w:rFonts w:ascii="黑体" w:hAnsi="黑体" w:eastAsia="黑体"/>
          <w:color w:val="auto"/>
          <w:szCs w:val="21"/>
          <w:highlight w:val="none"/>
        </w:rPr>
      </w:pPr>
    </w:p>
    <w:p w14:paraId="6F7415B5">
      <w:pPr>
        <w:spacing w:line="360" w:lineRule="auto"/>
        <w:rPr>
          <w:rFonts w:ascii="黑体" w:hAnsi="黑体" w:eastAsia="黑体"/>
          <w:color w:val="auto"/>
          <w:szCs w:val="21"/>
          <w:highlight w:val="none"/>
        </w:rPr>
      </w:pPr>
    </w:p>
    <w:p w14:paraId="6C49768C">
      <w:pPr>
        <w:spacing w:line="360" w:lineRule="auto"/>
        <w:rPr>
          <w:rFonts w:ascii="黑体" w:hAnsi="黑体" w:eastAsia="黑体"/>
          <w:color w:val="auto"/>
          <w:szCs w:val="21"/>
          <w:highlight w:val="none"/>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3"/>
        <w:gridCol w:w="3175"/>
      </w:tblGrid>
      <w:tr w14:paraId="3FF1A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3D3D7903">
            <w:pPr>
              <w:overflowPunct w:val="0"/>
              <w:adjustRightInd w:val="0"/>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c>
          <w:tcPr>
            <w:tcW w:w="3175" w:type="dxa"/>
            <w:vAlign w:val="top"/>
          </w:tcPr>
          <w:p w14:paraId="02CDE878">
            <w:pPr>
              <w:spacing w:line="360" w:lineRule="auto"/>
              <w:rPr>
                <w:rFonts w:ascii="黑体" w:hAnsi="黑体" w:eastAsia="黑体"/>
                <w:color w:val="auto"/>
                <w:szCs w:val="21"/>
                <w:highlight w:val="none"/>
              </w:rPr>
            </w:pPr>
          </w:p>
        </w:tc>
      </w:tr>
      <w:tr w14:paraId="39EA0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566DB491">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c>
          <w:tcPr>
            <w:tcW w:w="3175" w:type="dxa"/>
            <w:vAlign w:val="top"/>
          </w:tcPr>
          <w:p w14:paraId="6A9E2BE9">
            <w:pPr>
              <w:spacing w:line="360" w:lineRule="auto"/>
              <w:rPr>
                <w:rFonts w:ascii="黑体" w:hAnsi="黑体" w:eastAsia="黑体"/>
                <w:color w:val="auto"/>
                <w:szCs w:val="21"/>
                <w:highlight w:val="none"/>
              </w:rPr>
            </w:pPr>
          </w:p>
        </w:tc>
      </w:tr>
    </w:tbl>
    <w:p w14:paraId="71DB8DC7">
      <w:pPr>
        <w:spacing w:line="360" w:lineRule="auto"/>
        <w:rPr>
          <w:rFonts w:ascii="黑体" w:hAnsi="黑体" w:eastAsia="黑体"/>
          <w:color w:val="auto"/>
          <w:szCs w:val="21"/>
          <w:highlight w:val="none"/>
        </w:rPr>
      </w:pPr>
    </w:p>
    <w:p w14:paraId="546DDA91">
      <w:pPr>
        <w:pStyle w:val="3"/>
        <w:pageBreakBefore/>
        <w:spacing w:before="160" w:after="160" w:line="415" w:lineRule="auto"/>
        <w:jc w:val="left"/>
        <w:rPr>
          <w:rStyle w:val="23"/>
          <w:rFonts w:ascii="黑体" w:hAnsi="黑体" w:eastAsia="黑体"/>
          <w:b/>
          <w:bCs w:val="0"/>
          <w:color w:val="auto"/>
          <w:spacing w:val="12"/>
          <w:sz w:val="21"/>
          <w:highlight w:val="none"/>
        </w:rPr>
      </w:pPr>
      <w:bookmarkStart w:id="50" w:name="_Toc23715278"/>
      <w:bookmarkStart w:id="51" w:name="_Toc405313969"/>
      <w:bookmarkStart w:id="52" w:name="_Toc391627764"/>
      <w:r>
        <w:rPr>
          <w:rStyle w:val="23"/>
          <w:rFonts w:hint="eastAsia" w:ascii="黑体" w:hAnsi="黑体" w:eastAsia="黑体"/>
          <w:b/>
          <w:bCs w:val="0"/>
          <w:color w:val="auto"/>
          <w:spacing w:val="12"/>
          <w:sz w:val="21"/>
          <w:highlight w:val="none"/>
        </w:rPr>
        <w:t>附件6  资格申明</w:t>
      </w:r>
      <w:bookmarkEnd w:id="50"/>
      <w:bookmarkEnd w:id="51"/>
      <w:bookmarkEnd w:id="52"/>
    </w:p>
    <w:p w14:paraId="00C982A2">
      <w:pPr>
        <w:spacing w:afterLines="100" w:line="360" w:lineRule="auto"/>
        <w:jc w:val="center"/>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资格申明</w:t>
      </w:r>
    </w:p>
    <w:p w14:paraId="524526E0">
      <w:pPr>
        <w:spacing w:after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致</w:t>
      </w:r>
      <w:r>
        <w:rPr>
          <w:rFonts w:hint="eastAsia" w:ascii="黑体" w:hAnsi="黑体" w:eastAsia="黑体"/>
          <w:b/>
          <w:color w:val="auto"/>
          <w:szCs w:val="21"/>
          <w:highlight w:val="none"/>
          <w:lang w:eastAsia="zh-CN"/>
        </w:rPr>
        <w:t>东莞松山湖高新技术产业开发区管理委员会</w:t>
      </w:r>
      <w:r>
        <w:rPr>
          <w:rFonts w:hint="eastAsia" w:ascii="黑体" w:hAnsi="黑体" w:eastAsia="黑体"/>
          <w:b/>
          <w:color w:val="auto"/>
          <w:szCs w:val="21"/>
          <w:highlight w:val="none"/>
        </w:rPr>
        <w:t>：</w:t>
      </w:r>
    </w:p>
    <w:p w14:paraId="365DF14F">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我方</w:t>
      </w:r>
      <w:r>
        <w:rPr>
          <w:rFonts w:ascii="黑体" w:hAnsi="黑体" w:eastAsia="黑体"/>
          <w:color w:val="auto"/>
          <w:szCs w:val="21"/>
          <w:highlight w:val="none"/>
        </w:rPr>
        <w:t>愿响应</w:t>
      </w:r>
      <w:r>
        <w:rPr>
          <w:rFonts w:hint="eastAsia" w:ascii="黑体" w:hAnsi="黑体" w:eastAsia="黑体"/>
          <w:color w:val="auto"/>
          <w:szCs w:val="21"/>
          <w:highlight w:val="none"/>
        </w:rPr>
        <w:t>贵</w:t>
      </w:r>
      <w:r>
        <w:rPr>
          <w:rFonts w:ascii="黑体" w:hAnsi="黑体" w:eastAsia="黑体"/>
          <w:color w:val="auto"/>
          <w:szCs w:val="21"/>
          <w:highlight w:val="none"/>
        </w:rPr>
        <w:t>方</w:t>
      </w:r>
      <w:r>
        <w:rPr>
          <w:rFonts w:hint="eastAsia" w:ascii="黑体" w:hAnsi="黑体" w:eastAsia="黑体"/>
          <w:color w:val="auto"/>
          <w:szCs w:val="21"/>
          <w:highlight w:val="none"/>
        </w:rPr>
        <w:t>关于</w:t>
      </w:r>
      <w:r>
        <w:rPr>
          <w:rFonts w:hint="eastAsia" w:ascii="黑体" w:hAnsi="黑体" w:eastAsia="黑体"/>
          <w:color w:val="auto"/>
          <w:szCs w:val="21"/>
          <w:highlight w:val="none"/>
          <w:u w:val="single"/>
        </w:rPr>
        <w:t xml:space="preserve">    （</w:t>
      </w:r>
      <w:r>
        <w:rPr>
          <w:rFonts w:hint="eastAsia" w:ascii="黑体" w:hAnsi="黑体" w:eastAsia="黑体"/>
          <w:b/>
          <w:color w:val="auto"/>
          <w:szCs w:val="21"/>
          <w:highlight w:val="none"/>
          <w:u w:val="single"/>
        </w:rPr>
        <w:t>项目名称</w:t>
      </w:r>
      <w:r>
        <w:rPr>
          <w:rFonts w:hint="eastAsia" w:ascii="黑体" w:hAnsi="黑体" w:eastAsia="黑体"/>
          <w:color w:val="auto"/>
          <w:szCs w:val="21"/>
          <w:highlight w:val="none"/>
          <w:u w:val="single"/>
        </w:rPr>
        <w:t xml:space="preserve">）    </w:t>
      </w:r>
      <w:r>
        <w:rPr>
          <w:rFonts w:ascii="黑体" w:hAnsi="黑体" w:eastAsia="黑体"/>
          <w:color w:val="auto"/>
          <w:szCs w:val="21"/>
          <w:highlight w:val="none"/>
        </w:rPr>
        <w:t>（</w:t>
      </w:r>
      <w:r>
        <w:rPr>
          <w:rFonts w:hint="eastAsia" w:ascii="黑体" w:hAnsi="黑体" w:eastAsia="黑体"/>
          <w:color w:val="auto"/>
          <w:szCs w:val="21"/>
          <w:highlight w:val="none"/>
        </w:rPr>
        <w:t>项目</w:t>
      </w:r>
      <w:r>
        <w:rPr>
          <w:rFonts w:ascii="黑体" w:hAnsi="黑体" w:eastAsia="黑体"/>
          <w:color w:val="auto"/>
          <w:szCs w:val="21"/>
          <w:highlight w:val="none"/>
        </w:rPr>
        <w:t>编号</w:t>
      </w:r>
      <w:r>
        <w:rPr>
          <w:rFonts w:hint="eastAsia" w:ascii="黑体" w:hAnsi="黑体" w:eastAsia="黑体"/>
          <w:color w:val="auto"/>
          <w:szCs w:val="21"/>
          <w:highlight w:val="none"/>
        </w:rPr>
        <w:t>：</w:t>
      </w:r>
      <w:r>
        <w:rPr>
          <w:rFonts w:hint="eastAsia" w:ascii="黑体" w:hAnsi="黑体" w:eastAsia="黑体"/>
          <w:color w:val="auto"/>
          <w:szCs w:val="21"/>
          <w:highlight w:val="none"/>
          <w:u w:val="single"/>
        </w:rPr>
        <w:t xml:space="preserve">         </w:t>
      </w:r>
      <w:r>
        <w:rPr>
          <w:rFonts w:hint="eastAsia" w:ascii="黑体" w:hAnsi="黑体" w:eastAsia="黑体"/>
          <w:color w:val="auto"/>
          <w:szCs w:val="21"/>
          <w:highlight w:val="none"/>
        </w:rPr>
        <w:t>）的</w:t>
      </w:r>
      <w:r>
        <w:rPr>
          <w:rFonts w:ascii="黑体" w:hAnsi="黑体" w:eastAsia="黑体"/>
          <w:color w:val="auto"/>
          <w:szCs w:val="21"/>
          <w:highlight w:val="none"/>
        </w:rPr>
        <w:t>投标邀请，参与投标，</w:t>
      </w:r>
      <w:r>
        <w:rPr>
          <w:rFonts w:hint="eastAsia" w:ascii="黑体" w:hAnsi="黑体" w:eastAsia="黑体"/>
          <w:color w:val="auto"/>
          <w:szCs w:val="21"/>
          <w:highlight w:val="none"/>
        </w:rPr>
        <w:t>提供用户需求书中规定的货物及相关服务，并按招标文件要求提交所附资格文件且声明和保证如下：</w:t>
      </w:r>
    </w:p>
    <w:p w14:paraId="20FDA431">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一、本公司（企业）具备《中华人民共和国</w:t>
      </w:r>
      <w:r>
        <w:rPr>
          <w:rFonts w:hint="eastAsia" w:ascii="黑体" w:hAnsi="黑体" w:eastAsia="黑体"/>
          <w:color w:val="auto"/>
          <w:szCs w:val="21"/>
          <w:highlight w:val="none"/>
          <w:lang w:eastAsia="zh-CN"/>
        </w:rPr>
        <w:t>政府</w:t>
      </w:r>
      <w:r>
        <w:rPr>
          <w:rFonts w:hint="eastAsia" w:ascii="黑体" w:hAnsi="黑体" w:eastAsia="黑体"/>
          <w:color w:val="auto"/>
          <w:szCs w:val="21"/>
          <w:highlight w:val="none"/>
        </w:rPr>
        <w:t>采购法》第二十二条规定的条件：</w:t>
      </w:r>
    </w:p>
    <w:p w14:paraId="6DCBF9D3">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1）具有独立承担民事责任的能力；</w:t>
      </w:r>
    </w:p>
    <w:p w14:paraId="647025EF">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2）具有良好的商业信誉和健全的财务会计制度；</w:t>
      </w:r>
    </w:p>
    <w:p w14:paraId="6E945FB7">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3）具有履行合同所必需的设备和专业技术能力；</w:t>
      </w:r>
    </w:p>
    <w:p w14:paraId="3E8C7E77">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4）有依法缴纳税收和社会保障资金的良好记录；</w:t>
      </w:r>
    </w:p>
    <w:p w14:paraId="0ADEBF9C">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5）参加采购活动前三年内，在经营活动中没有重大违法记录；</w:t>
      </w:r>
    </w:p>
    <w:p w14:paraId="3E950C6E">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6）法律、行政法规规定的其他条件。</w:t>
      </w:r>
    </w:p>
    <w:p w14:paraId="3B20A87A">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二、本公司（企业）如为采购项目提供整体设计、规范编制或者项目管理、监理、检测等服务的银行，不再参加该采购项目的采购活动。</w:t>
      </w:r>
    </w:p>
    <w:p w14:paraId="7A3EF93B">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三、我方承诺单位负责人为同一人或者存在直接控股、管理关系的不同银行，不得同时参加本采购项目投标。</w:t>
      </w:r>
    </w:p>
    <w:p w14:paraId="17EE8423">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本公司（企业）承诺在本次招标采购活动中，如有违法、违规、弄虚作假行为，所造成的损失、不良后果及法律责任，一律由我公司（企业）承担。</w:t>
      </w:r>
    </w:p>
    <w:p w14:paraId="497996FA">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特此声明！</w:t>
      </w:r>
    </w:p>
    <w:p w14:paraId="6F4C7917">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备注：1.本声明函必须提供且内容不得擅自删改，否则视为无效投标。</w:t>
      </w:r>
    </w:p>
    <w:p w14:paraId="258E986B">
      <w:pPr>
        <w:spacing w:line="360" w:lineRule="auto"/>
        <w:ind w:firstLine="1050" w:firstLineChars="500"/>
        <w:rPr>
          <w:rFonts w:ascii="黑体" w:hAnsi="黑体" w:eastAsia="黑体"/>
          <w:color w:val="auto"/>
          <w:szCs w:val="21"/>
          <w:highlight w:val="none"/>
        </w:rPr>
      </w:pPr>
      <w:r>
        <w:rPr>
          <w:rFonts w:hint="eastAsia" w:ascii="黑体" w:hAnsi="黑体" w:eastAsia="黑体"/>
          <w:color w:val="auto"/>
          <w:szCs w:val="21"/>
          <w:highlight w:val="none"/>
        </w:rPr>
        <w:t>2.本声明函如有虚假或与事实不符的，作无效投标处理。</w:t>
      </w:r>
    </w:p>
    <w:p w14:paraId="2F24FDBE">
      <w:pPr>
        <w:spacing w:line="360" w:lineRule="auto"/>
        <w:rPr>
          <w:rFonts w:ascii="黑体" w:hAnsi="黑体" w:eastAsia="黑体"/>
          <w:color w:val="auto"/>
          <w:szCs w:val="21"/>
          <w:highlight w:val="none"/>
        </w:rPr>
      </w:pPr>
    </w:p>
    <w:p w14:paraId="193694BD">
      <w:pPr>
        <w:spacing w:line="360" w:lineRule="auto"/>
        <w:rPr>
          <w:rFonts w:ascii="黑体" w:hAnsi="黑体" w:eastAsia="黑体"/>
          <w:color w:val="auto"/>
          <w:szCs w:val="21"/>
          <w:highlight w:val="none"/>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3"/>
        <w:gridCol w:w="3175"/>
      </w:tblGrid>
      <w:tr w14:paraId="3DA5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766EEF92">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c>
          <w:tcPr>
            <w:tcW w:w="3175" w:type="dxa"/>
            <w:vAlign w:val="top"/>
          </w:tcPr>
          <w:p w14:paraId="56F17811">
            <w:pPr>
              <w:spacing w:line="360" w:lineRule="auto"/>
              <w:rPr>
                <w:rFonts w:ascii="黑体" w:hAnsi="黑体" w:eastAsia="黑体"/>
                <w:color w:val="auto"/>
                <w:szCs w:val="21"/>
                <w:highlight w:val="none"/>
              </w:rPr>
            </w:pPr>
          </w:p>
        </w:tc>
      </w:tr>
      <w:tr w14:paraId="4A5CB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1DAE7B52">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c>
          <w:tcPr>
            <w:tcW w:w="3175" w:type="dxa"/>
            <w:vAlign w:val="top"/>
          </w:tcPr>
          <w:p w14:paraId="3BEE0D63">
            <w:pPr>
              <w:spacing w:line="360" w:lineRule="auto"/>
              <w:rPr>
                <w:rFonts w:ascii="黑体" w:hAnsi="黑体" w:eastAsia="黑体"/>
                <w:color w:val="auto"/>
                <w:szCs w:val="21"/>
                <w:highlight w:val="none"/>
              </w:rPr>
            </w:pPr>
          </w:p>
        </w:tc>
      </w:tr>
    </w:tbl>
    <w:p w14:paraId="365FDFD4">
      <w:pPr>
        <w:pStyle w:val="3"/>
        <w:pageBreakBefore/>
        <w:spacing w:line="415" w:lineRule="auto"/>
        <w:jc w:val="left"/>
        <w:rPr>
          <w:rStyle w:val="23"/>
          <w:rFonts w:ascii="黑体" w:hAnsi="黑体" w:eastAsia="黑体"/>
          <w:b/>
          <w:bCs w:val="0"/>
          <w:color w:val="auto"/>
          <w:spacing w:val="10"/>
          <w:sz w:val="21"/>
          <w:highlight w:val="none"/>
        </w:rPr>
      </w:pPr>
      <w:bookmarkStart w:id="53" w:name="_Toc391627766"/>
      <w:bookmarkStart w:id="54" w:name="_Toc405313970"/>
      <w:bookmarkStart w:id="55" w:name="_Toc23715279"/>
      <w:r>
        <w:rPr>
          <w:rStyle w:val="23"/>
          <w:rFonts w:hint="eastAsia" w:ascii="黑体" w:hAnsi="黑体" w:eastAsia="黑体"/>
          <w:b/>
          <w:bCs w:val="0"/>
          <w:color w:val="auto"/>
          <w:spacing w:val="10"/>
          <w:sz w:val="21"/>
          <w:highlight w:val="none"/>
        </w:rPr>
        <w:t>附件</w:t>
      </w:r>
      <w:bookmarkEnd w:id="53"/>
      <w:bookmarkEnd w:id="54"/>
      <w:r>
        <w:rPr>
          <w:rStyle w:val="23"/>
          <w:rFonts w:hint="eastAsia" w:ascii="黑体" w:hAnsi="黑体" w:eastAsia="黑体"/>
          <w:b/>
          <w:bCs w:val="0"/>
          <w:color w:val="auto"/>
          <w:spacing w:val="10"/>
          <w:sz w:val="21"/>
          <w:highlight w:val="none"/>
        </w:rPr>
        <w:t>7 在经营活动中没有重大违法记录的书面声明</w:t>
      </w:r>
      <w:bookmarkEnd w:id="55"/>
    </w:p>
    <w:p w14:paraId="31FC54A5">
      <w:pPr>
        <w:spacing w:beforeLines="200" w:afterLines="100"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在经营活动中没有重大违法记录的书面声明</w:t>
      </w:r>
    </w:p>
    <w:p w14:paraId="73A0D660">
      <w:pPr>
        <w:spacing w:afterLines="100" w:line="360" w:lineRule="auto"/>
        <w:rPr>
          <w:rFonts w:ascii="黑体" w:hAnsi="黑体" w:eastAsia="黑体"/>
          <w:b/>
          <w:color w:val="auto"/>
          <w:szCs w:val="21"/>
          <w:highlight w:val="none"/>
        </w:rPr>
      </w:pPr>
      <w:r>
        <w:rPr>
          <w:rFonts w:hint="eastAsia" w:ascii="黑体" w:hAnsi="黑体" w:eastAsia="黑体"/>
          <w:b/>
          <w:color w:val="auto"/>
          <w:szCs w:val="21"/>
          <w:highlight w:val="none"/>
        </w:rPr>
        <w:t>致</w:t>
      </w:r>
      <w:r>
        <w:rPr>
          <w:rFonts w:hint="eastAsia" w:ascii="黑体" w:hAnsi="黑体" w:eastAsia="黑体"/>
          <w:b/>
          <w:color w:val="auto"/>
          <w:highlight w:val="none"/>
          <w:lang w:eastAsia="zh-CN"/>
        </w:rPr>
        <w:t>东莞松山湖高新技术产业开发区管理委员会</w:t>
      </w:r>
      <w:r>
        <w:rPr>
          <w:rFonts w:hint="eastAsia" w:ascii="黑体" w:hAnsi="黑体" w:eastAsia="黑体"/>
          <w:b/>
          <w:color w:val="auto"/>
          <w:szCs w:val="21"/>
          <w:highlight w:val="none"/>
        </w:rPr>
        <w:t>：</w:t>
      </w:r>
    </w:p>
    <w:p w14:paraId="339010BA">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本公司参加</w:t>
      </w:r>
      <w:r>
        <w:rPr>
          <w:rFonts w:hint="eastAsia" w:ascii="黑体" w:hAnsi="黑体" w:eastAsia="黑体"/>
          <w:color w:val="auto"/>
          <w:szCs w:val="21"/>
          <w:highlight w:val="none"/>
          <w:u w:val="single"/>
        </w:rPr>
        <w:t xml:space="preserve">      （</w:t>
      </w:r>
      <w:r>
        <w:rPr>
          <w:rFonts w:hint="eastAsia" w:ascii="黑体" w:hAnsi="黑体" w:eastAsia="黑体"/>
          <w:b/>
          <w:color w:val="auto"/>
          <w:szCs w:val="21"/>
          <w:highlight w:val="none"/>
          <w:u w:val="single"/>
        </w:rPr>
        <w:t>项目名称</w:t>
      </w:r>
      <w:r>
        <w:rPr>
          <w:rFonts w:hint="eastAsia" w:ascii="黑体" w:hAnsi="黑体" w:eastAsia="黑体"/>
          <w:color w:val="auto"/>
          <w:szCs w:val="21"/>
          <w:highlight w:val="none"/>
          <w:u w:val="single"/>
        </w:rPr>
        <w:t xml:space="preserve">）      </w:t>
      </w:r>
      <w:r>
        <w:rPr>
          <w:rFonts w:hint="eastAsia" w:ascii="黑体" w:hAnsi="黑体" w:eastAsia="黑体"/>
          <w:color w:val="auto"/>
          <w:szCs w:val="21"/>
          <w:highlight w:val="none"/>
        </w:rPr>
        <w:t>（项目编号：</w:t>
      </w:r>
      <w:r>
        <w:rPr>
          <w:rFonts w:hint="eastAsia" w:ascii="黑体" w:hAnsi="黑体" w:eastAsia="黑体"/>
          <w:color w:val="auto"/>
          <w:szCs w:val="21"/>
          <w:highlight w:val="none"/>
          <w:u w:val="single"/>
        </w:rPr>
        <w:t xml:space="preserve">             </w:t>
      </w:r>
      <w:r>
        <w:rPr>
          <w:rFonts w:hint="eastAsia" w:ascii="黑体" w:hAnsi="黑体" w:eastAsia="黑体"/>
          <w:color w:val="auto"/>
          <w:szCs w:val="21"/>
          <w:highlight w:val="none"/>
        </w:rPr>
        <w:t>）的采购活动，并声明：</w:t>
      </w:r>
    </w:p>
    <w:p w14:paraId="611F0334">
      <w:pPr>
        <w:spacing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本公司参加本采购项目活动前</w:t>
      </w:r>
      <w:r>
        <w:rPr>
          <w:rFonts w:hint="eastAsia" w:ascii="黑体" w:hAnsi="黑体" w:eastAsia="黑体"/>
          <w:color w:val="auto"/>
          <w:szCs w:val="21"/>
          <w:highlight w:val="none"/>
          <w:u w:val="single"/>
        </w:rPr>
        <w:t xml:space="preserve">   （</w:t>
      </w:r>
      <w:r>
        <w:rPr>
          <w:rFonts w:hint="eastAsia" w:ascii="黑体" w:hAnsi="黑体" w:eastAsia="黑体"/>
          <w:b/>
          <w:color w:val="auto"/>
          <w:szCs w:val="21"/>
          <w:highlight w:val="none"/>
          <w:u w:val="single"/>
        </w:rPr>
        <w:t>详见合格投标人资格要求</w:t>
      </w:r>
      <w:r>
        <w:rPr>
          <w:rFonts w:hint="eastAsia" w:ascii="黑体" w:hAnsi="黑体" w:eastAsia="黑体"/>
          <w:color w:val="auto"/>
          <w:szCs w:val="21"/>
          <w:highlight w:val="none"/>
          <w:u w:val="single"/>
        </w:rPr>
        <w:t xml:space="preserve">）   </w:t>
      </w:r>
      <w:r>
        <w:rPr>
          <w:rFonts w:hint="eastAsia" w:ascii="黑体" w:hAnsi="黑体" w:eastAsia="黑体"/>
          <w:color w:val="auto"/>
          <w:szCs w:val="21"/>
          <w:highlight w:val="none"/>
        </w:rPr>
        <w:t>年内在经营活动中没有因违法经营受到刑事处罚或者责令停产停业、吊销许可证或者执照、较大数额罚款等行政处罚。</w:t>
      </w:r>
    </w:p>
    <w:p w14:paraId="36F9B9FD">
      <w:pPr>
        <w:spacing w:beforeLines="100" w:afterLines="100" w:line="360" w:lineRule="auto"/>
        <w:ind w:firstLine="420" w:firstLineChars="200"/>
        <w:rPr>
          <w:rFonts w:ascii="黑体" w:hAnsi="黑体" w:eastAsia="黑体"/>
          <w:color w:val="auto"/>
          <w:szCs w:val="21"/>
          <w:highlight w:val="none"/>
        </w:rPr>
      </w:pPr>
      <w:r>
        <w:rPr>
          <w:rFonts w:hint="eastAsia" w:ascii="黑体" w:hAnsi="黑体" w:eastAsia="黑体"/>
          <w:color w:val="auto"/>
          <w:szCs w:val="21"/>
          <w:highlight w:val="none"/>
        </w:rPr>
        <w:t>特此声明！</w:t>
      </w:r>
    </w:p>
    <w:p w14:paraId="08AD0DCD">
      <w:pPr>
        <w:spacing w:line="360" w:lineRule="auto"/>
        <w:rPr>
          <w:rFonts w:ascii="黑体" w:hAnsi="黑体" w:eastAsia="黑体"/>
          <w:color w:val="auto"/>
          <w:szCs w:val="21"/>
          <w:highlight w:val="none"/>
        </w:rPr>
      </w:pPr>
    </w:p>
    <w:p w14:paraId="5C48FE90">
      <w:pPr>
        <w:spacing w:line="360" w:lineRule="auto"/>
        <w:rPr>
          <w:rFonts w:ascii="黑体" w:hAnsi="黑体" w:eastAsia="黑体"/>
          <w:color w:val="auto"/>
          <w:szCs w:val="21"/>
          <w:highlight w:val="none"/>
        </w:rPr>
      </w:pPr>
    </w:p>
    <w:p w14:paraId="48536122">
      <w:pPr>
        <w:spacing w:line="360" w:lineRule="auto"/>
        <w:rPr>
          <w:rFonts w:ascii="黑体" w:hAnsi="黑体" w:eastAsia="黑体"/>
          <w:color w:val="auto"/>
          <w:szCs w:val="21"/>
          <w:highlight w:val="none"/>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3"/>
        <w:gridCol w:w="3175"/>
      </w:tblGrid>
      <w:tr w14:paraId="5A7C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353" w:type="dxa"/>
            <w:vAlign w:val="top"/>
          </w:tcPr>
          <w:p w14:paraId="261F3E73">
            <w:pPr>
              <w:overflowPunct w:val="0"/>
              <w:adjustRightInd w:val="0"/>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c>
          <w:tcPr>
            <w:tcW w:w="3175" w:type="dxa"/>
            <w:vAlign w:val="top"/>
          </w:tcPr>
          <w:p w14:paraId="5F0216B5">
            <w:pPr>
              <w:spacing w:line="360" w:lineRule="auto"/>
              <w:rPr>
                <w:rFonts w:ascii="黑体" w:hAnsi="黑体" w:eastAsia="黑体"/>
                <w:color w:val="auto"/>
                <w:szCs w:val="21"/>
                <w:highlight w:val="none"/>
              </w:rPr>
            </w:pPr>
          </w:p>
        </w:tc>
      </w:tr>
      <w:tr w14:paraId="5EA99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5F52624F">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c>
          <w:tcPr>
            <w:tcW w:w="3175" w:type="dxa"/>
            <w:vAlign w:val="top"/>
          </w:tcPr>
          <w:p w14:paraId="3FD5C71E">
            <w:pPr>
              <w:spacing w:line="360" w:lineRule="auto"/>
              <w:rPr>
                <w:rFonts w:ascii="黑体" w:hAnsi="黑体" w:eastAsia="黑体"/>
                <w:color w:val="auto"/>
                <w:szCs w:val="21"/>
                <w:highlight w:val="none"/>
              </w:rPr>
            </w:pPr>
          </w:p>
        </w:tc>
      </w:tr>
    </w:tbl>
    <w:p w14:paraId="60B98851">
      <w:pPr>
        <w:spacing w:line="360" w:lineRule="auto"/>
        <w:rPr>
          <w:rFonts w:ascii="黑体" w:hAnsi="黑体" w:eastAsia="黑体"/>
          <w:color w:val="auto"/>
          <w:szCs w:val="21"/>
          <w:highlight w:val="none"/>
        </w:rPr>
      </w:pPr>
    </w:p>
    <w:p w14:paraId="4393A82E">
      <w:pPr>
        <w:pStyle w:val="32"/>
        <w:pageBreakBefore/>
        <w:numPr>
          <w:ilvl w:val="0"/>
          <w:numId w:val="64"/>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唱标信封</w:t>
      </w:r>
    </w:p>
    <w:p w14:paraId="3E464838">
      <w:pPr>
        <w:pStyle w:val="32"/>
        <w:numPr>
          <w:ilvl w:val="0"/>
          <w:numId w:val="70"/>
        </w:numPr>
        <w:spacing w:beforeLines="100" w:afterLines="100" w:line="360" w:lineRule="auto"/>
        <w:ind w:firstLineChars="0"/>
        <w:jc w:val="left"/>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唱标信封内装：</w:t>
      </w:r>
    </w:p>
    <w:p w14:paraId="3DAB15AA">
      <w:pPr>
        <w:pStyle w:val="32"/>
        <w:numPr>
          <w:ilvl w:val="0"/>
          <w:numId w:val="71"/>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投标函加盖投标人公章；</w:t>
      </w:r>
    </w:p>
    <w:p w14:paraId="0B661619">
      <w:pPr>
        <w:pStyle w:val="32"/>
        <w:numPr>
          <w:ilvl w:val="0"/>
          <w:numId w:val="71"/>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法定(负责人)代表人证明书或法定(负责人)代表人授权委托书加盖投标人公章；</w:t>
      </w:r>
    </w:p>
    <w:p w14:paraId="6C559A97">
      <w:pPr>
        <w:pStyle w:val="32"/>
        <w:numPr>
          <w:ilvl w:val="0"/>
          <w:numId w:val="71"/>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开标一览表加盖投标人公章；</w:t>
      </w:r>
    </w:p>
    <w:p w14:paraId="6F6FC123">
      <w:pPr>
        <w:pStyle w:val="32"/>
        <w:numPr>
          <w:ilvl w:val="0"/>
          <w:numId w:val="71"/>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电子文件（CD-R光盘或优盘）。</w:t>
      </w:r>
    </w:p>
    <w:p w14:paraId="32A25ECA">
      <w:pPr>
        <w:spacing w:line="360" w:lineRule="auto"/>
        <w:rPr>
          <w:rFonts w:ascii="黑体" w:hAnsi="黑体" w:eastAsia="黑体"/>
          <w:color w:val="auto"/>
          <w:szCs w:val="21"/>
          <w:highlight w:val="none"/>
        </w:rPr>
      </w:pPr>
    </w:p>
    <w:p w14:paraId="594A13DC">
      <w:pPr>
        <w:spacing w:line="360" w:lineRule="auto"/>
        <w:rPr>
          <w:rFonts w:ascii="黑体" w:hAnsi="黑体" w:eastAsia="黑体"/>
          <w:color w:val="auto"/>
          <w:szCs w:val="21"/>
          <w:highlight w:val="none"/>
        </w:rPr>
      </w:pPr>
    </w:p>
    <w:p w14:paraId="6111649C">
      <w:pPr>
        <w:pStyle w:val="3"/>
        <w:pageBreakBefore/>
        <w:spacing w:before="160" w:after="160" w:line="415" w:lineRule="auto"/>
        <w:jc w:val="left"/>
        <w:rPr>
          <w:rStyle w:val="23"/>
          <w:rFonts w:ascii="黑体" w:hAnsi="黑体" w:eastAsia="黑体"/>
          <w:b/>
          <w:bCs w:val="0"/>
          <w:color w:val="auto"/>
          <w:spacing w:val="12"/>
          <w:sz w:val="21"/>
          <w:highlight w:val="none"/>
        </w:rPr>
      </w:pPr>
      <w:bookmarkStart w:id="56" w:name="_Toc23715280"/>
      <w:r>
        <w:rPr>
          <w:rStyle w:val="23"/>
          <w:rFonts w:hint="eastAsia" w:ascii="黑体" w:hAnsi="黑体" w:eastAsia="黑体"/>
          <w:b/>
          <w:bCs w:val="0"/>
          <w:color w:val="auto"/>
          <w:spacing w:val="12"/>
          <w:sz w:val="21"/>
          <w:highlight w:val="none"/>
        </w:rPr>
        <w:t>附件8  开标一览表</w:t>
      </w:r>
      <w:bookmarkEnd w:id="56"/>
    </w:p>
    <w:p w14:paraId="6FC429BD">
      <w:pPr>
        <w:spacing w:beforeLines="200" w:afterLines="100" w:line="360" w:lineRule="auto"/>
        <w:jc w:val="center"/>
        <w:rPr>
          <w:rFonts w:hint="eastAsia"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开标一览表</w:t>
      </w:r>
    </w:p>
    <w:tbl>
      <w:tblPr>
        <w:tblStyle w:val="20"/>
        <w:tblW w:w="899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9"/>
        <w:gridCol w:w="1194"/>
        <w:gridCol w:w="880"/>
        <w:gridCol w:w="2604"/>
        <w:gridCol w:w="1432"/>
        <w:gridCol w:w="2268"/>
      </w:tblGrid>
      <w:tr w14:paraId="37776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5" w:hRule="atLeast"/>
          <w:jc w:val="center"/>
        </w:trPr>
        <w:tc>
          <w:tcPr>
            <w:tcW w:w="619" w:type="dxa"/>
            <w:tcBorders>
              <w:top w:val="single" w:color="auto" w:sz="4" w:space="0"/>
              <w:left w:val="single" w:color="auto" w:sz="4" w:space="0"/>
              <w:bottom w:val="single" w:color="auto" w:sz="4" w:space="0"/>
              <w:right w:val="single" w:color="auto" w:sz="4" w:space="0"/>
            </w:tcBorders>
            <w:vAlign w:val="center"/>
          </w:tcPr>
          <w:p w14:paraId="4239C4B6">
            <w:pPr>
              <w:overflowPunct w:val="0"/>
              <w:adjustRightInd w:val="0"/>
              <w:spacing w:line="46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序号</w:t>
            </w:r>
          </w:p>
        </w:tc>
        <w:tc>
          <w:tcPr>
            <w:tcW w:w="1194" w:type="dxa"/>
            <w:tcBorders>
              <w:top w:val="single" w:color="auto" w:sz="4" w:space="0"/>
              <w:left w:val="single" w:color="auto" w:sz="4" w:space="0"/>
              <w:bottom w:val="single" w:color="auto" w:sz="4" w:space="0"/>
              <w:right w:val="single" w:color="auto" w:sz="4" w:space="0"/>
            </w:tcBorders>
            <w:vAlign w:val="center"/>
          </w:tcPr>
          <w:p w14:paraId="7D2A290B">
            <w:pPr>
              <w:overflowPunct w:val="0"/>
              <w:adjustRightInd w:val="0"/>
              <w:spacing w:line="460" w:lineRule="exact"/>
              <w:jc w:val="center"/>
              <w:rPr>
                <w:rFonts w:hint="default" w:ascii="黑体" w:hAnsi="黑体" w:eastAsia="黑体"/>
                <w:b/>
                <w:color w:val="auto"/>
                <w:szCs w:val="21"/>
                <w:highlight w:val="none"/>
                <w:lang w:val="en-US" w:eastAsia="zh-CN"/>
              </w:rPr>
            </w:pPr>
            <w:r>
              <w:rPr>
                <w:rFonts w:hint="eastAsia" w:ascii="黑体" w:hAnsi="黑体" w:eastAsia="黑体"/>
                <w:b/>
                <w:color w:val="auto"/>
                <w:szCs w:val="21"/>
                <w:highlight w:val="none"/>
                <w:lang w:val="en-US" w:eastAsia="zh-CN"/>
              </w:rPr>
              <w:t>存款类型</w:t>
            </w:r>
          </w:p>
        </w:tc>
        <w:tc>
          <w:tcPr>
            <w:tcW w:w="880" w:type="dxa"/>
            <w:tcBorders>
              <w:top w:val="single" w:color="auto" w:sz="4" w:space="0"/>
              <w:left w:val="single" w:color="auto" w:sz="4" w:space="0"/>
              <w:bottom w:val="single" w:color="auto" w:sz="4" w:space="0"/>
              <w:right w:val="single" w:color="auto" w:sz="4" w:space="0"/>
            </w:tcBorders>
            <w:vAlign w:val="center"/>
          </w:tcPr>
          <w:p w14:paraId="677EB32E">
            <w:pPr>
              <w:overflowPunct w:val="0"/>
              <w:adjustRightInd w:val="0"/>
              <w:spacing w:line="460" w:lineRule="exact"/>
              <w:jc w:val="center"/>
              <w:rPr>
                <w:rFonts w:hint="eastAsia" w:ascii="黑体" w:hAnsi="黑体" w:eastAsia="黑体"/>
                <w:b/>
                <w:color w:val="auto"/>
                <w:szCs w:val="21"/>
                <w:highlight w:val="none"/>
                <w:lang w:eastAsia="zh-CN"/>
              </w:rPr>
            </w:pPr>
            <w:r>
              <w:rPr>
                <w:rFonts w:hint="eastAsia" w:ascii="黑体" w:hAnsi="黑体" w:eastAsia="黑体"/>
                <w:b/>
                <w:color w:val="auto"/>
                <w:szCs w:val="21"/>
                <w:highlight w:val="none"/>
                <w:lang w:eastAsia="zh-CN"/>
              </w:rPr>
              <w:t>存期</w:t>
            </w:r>
          </w:p>
        </w:tc>
        <w:tc>
          <w:tcPr>
            <w:tcW w:w="2604" w:type="dxa"/>
            <w:tcBorders>
              <w:top w:val="single" w:color="auto" w:sz="4" w:space="0"/>
              <w:left w:val="single" w:color="auto" w:sz="4" w:space="0"/>
              <w:right w:val="single" w:color="auto" w:sz="4" w:space="0"/>
            </w:tcBorders>
            <w:vAlign w:val="center"/>
          </w:tcPr>
          <w:p w14:paraId="56F4B94A">
            <w:pPr>
              <w:overflowPunct w:val="0"/>
              <w:adjustRightInd w:val="0"/>
              <w:spacing w:line="460" w:lineRule="exact"/>
              <w:jc w:val="center"/>
              <w:rPr>
                <w:rFonts w:hint="eastAsia" w:ascii="黑体" w:hAnsi="黑体" w:eastAsia="宋体"/>
                <w:b/>
                <w:color w:val="auto"/>
                <w:szCs w:val="21"/>
                <w:highlight w:val="none"/>
                <w:lang w:eastAsia="zh-CN"/>
              </w:rPr>
            </w:pPr>
            <w:r>
              <w:rPr>
                <w:rFonts w:hint="eastAsia" w:ascii="黑体" w:hAnsi="黑体" w:eastAsia="黑体"/>
                <w:b/>
                <w:color w:val="auto"/>
                <w:szCs w:val="21"/>
                <w:highlight w:val="none"/>
                <w:lang w:val="en-US" w:eastAsia="zh-CN"/>
              </w:rPr>
              <w:t>利率水平（基准利率 ± 浮动基点（BP））</w:t>
            </w:r>
          </w:p>
        </w:tc>
        <w:tc>
          <w:tcPr>
            <w:tcW w:w="1432" w:type="dxa"/>
            <w:tcBorders>
              <w:top w:val="single" w:color="auto" w:sz="4" w:space="0"/>
              <w:left w:val="single" w:color="auto" w:sz="4" w:space="0"/>
              <w:right w:val="single" w:color="auto" w:sz="4" w:space="0"/>
            </w:tcBorders>
            <w:vAlign w:val="center"/>
          </w:tcPr>
          <w:p w14:paraId="413FE6D6">
            <w:pPr>
              <w:overflowPunct w:val="0"/>
              <w:adjustRightInd w:val="0"/>
              <w:spacing w:line="460" w:lineRule="exact"/>
              <w:jc w:val="center"/>
              <w:rPr>
                <w:rFonts w:hint="default" w:ascii="黑体" w:hAnsi="黑体" w:eastAsia="黑体"/>
                <w:b/>
                <w:color w:val="auto"/>
                <w:szCs w:val="21"/>
                <w:highlight w:val="none"/>
                <w:lang w:val="en-US" w:eastAsia="zh-CN"/>
              </w:rPr>
            </w:pPr>
            <w:r>
              <w:rPr>
                <w:rFonts w:hint="eastAsia" w:ascii="黑体" w:hAnsi="黑体" w:eastAsia="黑体"/>
                <w:b/>
                <w:color w:val="auto"/>
                <w:szCs w:val="21"/>
                <w:highlight w:val="none"/>
                <w:lang w:val="en-US" w:eastAsia="zh-CN"/>
              </w:rPr>
              <w:t>上浮/下降*个BP</w:t>
            </w:r>
          </w:p>
        </w:tc>
        <w:tc>
          <w:tcPr>
            <w:tcW w:w="2268" w:type="dxa"/>
            <w:tcBorders>
              <w:top w:val="single" w:color="auto" w:sz="4" w:space="0"/>
              <w:left w:val="single" w:color="auto" w:sz="4" w:space="0"/>
              <w:right w:val="single" w:color="auto" w:sz="4" w:space="0"/>
            </w:tcBorders>
            <w:vAlign w:val="center"/>
          </w:tcPr>
          <w:p w14:paraId="17D10871">
            <w:pPr>
              <w:overflowPunct w:val="0"/>
              <w:adjustRightInd w:val="0"/>
              <w:spacing w:line="460" w:lineRule="exact"/>
              <w:jc w:val="center"/>
              <w:rPr>
                <w:rFonts w:hint="eastAsia" w:ascii="黑体" w:hAnsi="黑体" w:eastAsia="黑体"/>
                <w:b/>
                <w:color w:val="auto"/>
                <w:szCs w:val="21"/>
                <w:highlight w:val="none"/>
              </w:rPr>
            </w:pPr>
            <w:r>
              <w:rPr>
                <w:rFonts w:hint="eastAsia" w:ascii="黑体" w:hAnsi="黑体" w:eastAsia="黑体"/>
                <w:b/>
                <w:color w:val="auto"/>
                <w:szCs w:val="21"/>
                <w:highlight w:val="none"/>
              </w:rPr>
              <w:t>备注</w:t>
            </w:r>
          </w:p>
        </w:tc>
      </w:tr>
      <w:tr w14:paraId="1BE8D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jc w:val="center"/>
        </w:trPr>
        <w:tc>
          <w:tcPr>
            <w:tcW w:w="619" w:type="dxa"/>
            <w:tcBorders>
              <w:top w:val="single" w:color="auto" w:sz="4" w:space="0"/>
              <w:left w:val="single" w:color="auto" w:sz="4" w:space="0"/>
              <w:bottom w:val="single" w:color="auto" w:sz="4" w:space="0"/>
              <w:right w:val="single" w:color="auto" w:sz="4" w:space="0"/>
            </w:tcBorders>
            <w:vAlign w:val="center"/>
          </w:tcPr>
          <w:p w14:paraId="55896FE2">
            <w:pPr>
              <w:overflowPunct w:val="0"/>
              <w:adjustRightInd w:val="0"/>
              <w:spacing w:line="460" w:lineRule="exact"/>
              <w:jc w:val="center"/>
              <w:rPr>
                <w:rFonts w:ascii="黑体" w:hAnsi="黑体" w:eastAsia="黑体"/>
                <w:color w:val="auto"/>
                <w:szCs w:val="21"/>
                <w:highlight w:val="none"/>
              </w:rPr>
            </w:pPr>
            <w:r>
              <w:rPr>
                <w:rFonts w:hint="eastAsia" w:ascii="黑体" w:hAnsi="黑体" w:eastAsia="黑体"/>
                <w:color w:val="auto"/>
                <w:szCs w:val="21"/>
                <w:highlight w:val="none"/>
              </w:rPr>
              <w:t>1</w:t>
            </w:r>
          </w:p>
        </w:tc>
        <w:tc>
          <w:tcPr>
            <w:tcW w:w="1194" w:type="dxa"/>
            <w:tcBorders>
              <w:top w:val="single" w:color="auto" w:sz="4" w:space="0"/>
              <w:left w:val="single" w:color="auto" w:sz="4" w:space="0"/>
              <w:bottom w:val="single" w:color="auto" w:sz="4" w:space="0"/>
              <w:right w:val="single" w:color="auto" w:sz="4" w:space="0"/>
            </w:tcBorders>
            <w:vAlign w:val="center"/>
          </w:tcPr>
          <w:p w14:paraId="128AFD31">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b/>
                <w:color w:val="auto"/>
                <w:szCs w:val="21"/>
                <w:highlight w:val="none"/>
                <w:lang w:eastAsia="zh-CN"/>
              </w:rPr>
              <w:t>定期存款</w:t>
            </w:r>
          </w:p>
        </w:tc>
        <w:tc>
          <w:tcPr>
            <w:tcW w:w="880" w:type="dxa"/>
            <w:tcBorders>
              <w:top w:val="single" w:color="auto" w:sz="4" w:space="0"/>
              <w:left w:val="single" w:color="auto" w:sz="4" w:space="0"/>
              <w:bottom w:val="single" w:color="auto" w:sz="4" w:space="0"/>
              <w:right w:val="single" w:color="auto" w:sz="4" w:space="0"/>
            </w:tcBorders>
            <w:vAlign w:val="center"/>
          </w:tcPr>
          <w:p w14:paraId="25FE0340">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color w:val="auto"/>
                <w:szCs w:val="21"/>
                <w:highlight w:val="none"/>
                <w:lang w:eastAsia="zh-CN"/>
              </w:rPr>
              <w:t>一年</w:t>
            </w:r>
          </w:p>
        </w:tc>
        <w:tc>
          <w:tcPr>
            <w:tcW w:w="2604" w:type="dxa"/>
            <w:tcBorders>
              <w:top w:val="single" w:color="auto" w:sz="4" w:space="0"/>
              <w:left w:val="single" w:color="auto" w:sz="4" w:space="0"/>
              <w:bottom w:val="single" w:color="auto" w:sz="4" w:space="0"/>
              <w:right w:val="single" w:color="auto" w:sz="4" w:space="0"/>
            </w:tcBorders>
            <w:vAlign w:val="center"/>
          </w:tcPr>
          <w:p w14:paraId="68676FC4">
            <w:pPr>
              <w:overflowPunct w:val="0"/>
              <w:adjustRightInd w:val="0"/>
              <w:spacing w:line="460" w:lineRule="exact"/>
              <w:jc w:val="both"/>
              <w:rPr>
                <w:rFonts w:ascii="黑体" w:hAnsi="黑体" w:eastAsia="黑体"/>
                <w:color w:val="auto"/>
                <w:szCs w:val="21"/>
                <w:highlight w:val="none"/>
                <w:u w:val="single"/>
              </w:rPr>
            </w:pPr>
            <w:r>
              <w:rPr>
                <w:rFonts w:hint="eastAsia" w:ascii="黑体" w:hAnsi="黑体" w:eastAsia="黑体"/>
                <w:color w:val="auto"/>
                <w:szCs w:val="21"/>
                <w:highlight w:val="none"/>
                <w:lang w:eastAsia="zh-CN"/>
              </w:rPr>
              <w:t>小写：</w:t>
            </w:r>
          </w:p>
          <w:p w14:paraId="2FFAA95D">
            <w:pPr>
              <w:overflowPunct w:val="0"/>
              <w:adjustRightInd w:val="0"/>
              <w:spacing w:line="460" w:lineRule="exact"/>
              <w:jc w:val="both"/>
              <w:rPr>
                <w:rFonts w:ascii="黑体" w:hAnsi="黑体" w:eastAsia="黑体"/>
                <w:color w:val="auto"/>
                <w:szCs w:val="21"/>
                <w:highlight w:val="none"/>
              </w:rPr>
            </w:pPr>
            <w:r>
              <w:rPr>
                <w:rFonts w:hint="eastAsia" w:ascii="黑体" w:hAnsi="黑体" w:eastAsia="黑体"/>
                <w:color w:val="auto"/>
                <w:szCs w:val="21"/>
                <w:highlight w:val="none"/>
              </w:rPr>
              <w:t>大写：</w:t>
            </w:r>
          </w:p>
        </w:tc>
        <w:tc>
          <w:tcPr>
            <w:tcW w:w="1432" w:type="dxa"/>
            <w:tcBorders>
              <w:top w:val="single" w:color="auto" w:sz="4" w:space="0"/>
              <w:left w:val="single" w:color="auto" w:sz="4" w:space="0"/>
              <w:bottom w:val="single" w:color="auto" w:sz="4" w:space="0"/>
              <w:right w:val="single" w:color="auto" w:sz="4" w:space="0"/>
            </w:tcBorders>
            <w:vAlign w:val="center"/>
          </w:tcPr>
          <w:p w14:paraId="6A9168C5">
            <w:pPr>
              <w:overflowPunct w:val="0"/>
              <w:adjustRightInd w:val="0"/>
              <w:spacing w:line="460" w:lineRule="exact"/>
              <w:jc w:val="center"/>
              <w:rPr>
                <w:rFonts w:ascii="黑体" w:hAnsi="黑体" w:eastAsia="黑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42C1DFE3">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color w:val="auto"/>
                <w:szCs w:val="21"/>
                <w:highlight w:val="none"/>
                <w:lang w:eastAsia="zh-CN"/>
              </w:rPr>
              <w:t>与中国人民银行公布的一年期存款基准利率相比较报价</w:t>
            </w:r>
          </w:p>
        </w:tc>
      </w:tr>
      <w:tr w14:paraId="0495C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jc w:val="center"/>
        </w:trPr>
        <w:tc>
          <w:tcPr>
            <w:tcW w:w="619" w:type="dxa"/>
            <w:tcBorders>
              <w:top w:val="single" w:color="auto" w:sz="4" w:space="0"/>
              <w:left w:val="single" w:color="auto" w:sz="4" w:space="0"/>
              <w:bottom w:val="single" w:color="auto" w:sz="4" w:space="0"/>
              <w:right w:val="single" w:color="auto" w:sz="4" w:space="0"/>
            </w:tcBorders>
            <w:vAlign w:val="center"/>
          </w:tcPr>
          <w:p w14:paraId="7C93DD26">
            <w:pPr>
              <w:overflowPunct w:val="0"/>
              <w:adjustRightInd w:val="0"/>
              <w:spacing w:line="460" w:lineRule="exact"/>
              <w:jc w:val="center"/>
              <w:rPr>
                <w:rFonts w:hint="default" w:ascii="黑体" w:hAnsi="黑体" w:eastAsia="黑体"/>
                <w:color w:val="auto"/>
                <w:szCs w:val="21"/>
                <w:highlight w:val="none"/>
                <w:lang w:val="en-US" w:eastAsia="zh-CN"/>
              </w:rPr>
            </w:pPr>
            <w:r>
              <w:rPr>
                <w:rFonts w:hint="eastAsia" w:ascii="黑体" w:hAnsi="黑体" w:eastAsia="黑体"/>
                <w:color w:val="auto"/>
                <w:szCs w:val="21"/>
                <w:highlight w:val="none"/>
                <w:lang w:val="en-US" w:eastAsia="zh-CN"/>
              </w:rPr>
              <w:t>2</w:t>
            </w:r>
          </w:p>
        </w:tc>
        <w:tc>
          <w:tcPr>
            <w:tcW w:w="1194" w:type="dxa"/>
            <w:tcBorders>
              <w:top w:val="single" w:color="auto" w:sz="4" w:space="0"/>
              <w:left w:val="single" w:color="auto" w:sz="4" w:space="0"/>
              <w:bottom w:val="single" w:color="auto" w:sz="4" w:space="0"/>
              <w:right w:val="single" w:color="auto" w:sz="4" w:space="0"/>
            </w:tcBorders>
            <w:vAlign w:val="center"/>
          </w:tcPr>
          <w:p w14:paraId="5510EDA4">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b/>
                <w:color w:val="auto"/>
                <w:szCs w:val="21"/>
                <w:highlight w:val="none"/>
                <w:lang w:val="en-US" w:eastAsia="zh-CN"/>
              </w:rPr>
              <w:t>大额存单</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0364C1D1">
            <w:pPr>
              <w:overflowPunct w:val="0"/>
              <w:adjustRightInd w:val="0"/>
              <w:spacing w:line="460" w:lineRule="exact"/>
              <w:jc w:val="center"/>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lang w:eastAsia="zh-CN"/>
              </w:rPr>
              <w:t>一年</w:t>
            </w:r>
          </w:p>
        </w:tc>
        <w:tc>
          <w:tcPr>
            <w:tcW w:w="2604" w:type="dxa"/>
            <w:tcBorders>
              <w:top w:val="single" w:color="auto" w:sz="4" w:space="0"/>
              <w:left w:val="single" w:color="auto" w:sz="4" w:space="0"/>
              <w:bottom w:val="single" w:color="auto" w:sz="4" w:space="0"/>
              <w:right w:val="single" w:color="auto" w:sz="4" w:space="0"/>
            </w:tcBorders>
            <w:shd w:val="clear" w:color="auto" w:fill="auto"/>
            <w:vAlign w:val="center"/>
          </w:tcPr>
          <w:p w14:paraId="57346FB4">
            <w:pPr>
              <w:overflowPunct w:val="0"/>
              <w:adjustRightInd w:val="0"/>
              <w:spacing w:line="460" w:lineRule="exact"/>
              <w:jc w:val="both"/>
              <w:rPr>
                <w:rFonts w:ascii="黑体" w:hAnsi="黑体" w:eastAsia="黑体"/>
                <w:color w:val="auto"/>
                <w:szCs w:val="21"/>
                <w:highlight w:val="none"/>
                <w:u w:val="single"/>
              </w:rPr>
            </w:pPr>
            <w:r>
              <w:rPr>
                <w:rFonts w:hint="eastAsia" w:ascii="黑体" w:hAnsi="黑体" w:eastAsia="黑体"/>
                <w:color w:val="auto"/>
                <w:szCs w:val="21"/>
                <w:highlight w:val="none"/>
                <w:lang w:eastAsia="zh-CN"/>
              </w:rPr>
              <w:t>小写：</w:t>
            </w:r>
          </w:p>
          <w:p w14:paraId="02663E65">
            <w:pPr>
              <w:overflowPunct w:val="0"/>
              <w:adjustRightInd w:val="0"/>
              <w:spacing w:line="460" w:lineRule="exact"/>
              <w:jc w:val="both"/>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rPr>
              <w:t>大写：</w:t>
            </w:r>
          </w:p>
        </w:tc>
        <w:tc>
          <w:tcPr>
            <w:tcW w:w="1432" w:type="dxa"/>
            <w:tcBorders>
              <w:top w:val="single" w:color="auto" w:sz="4" w:space="0"/>
              <w:left w:val="single" w:color="auto" w:sz="4" w:space="0"/>
              <w:bottom w:val="single" w:color="auto" w:sz="4" w:space="0"/>
              <w:right w:val="single" w:color="auto" w:sz="4" w:space="0"/>
            </w:tcBorders>
            <w:shd w:val="clear" w:color="auto" w:fill="auto"/>
            <w:vAlign w:val="center"/>
          </w:tcPr>
          <w:p w14:paraId="437C90B1">
            <w:pPr>
              <w:overflowPunct w:val="0"/>
              <w:adjustRightInd w:val="0"/>
              <w:spacing w:line="460" w:lineRule="exact"/>
              <w:jc w:val="center"/>
              <w:rPr>
                <w:rFonts w:ascii="黑体" w:hAnsi="黑体" w:eastAsia="黑体" w:cs="Times New Roman"/>
                <w:color w:val="auto"/>
                <w:kern w:val="2"/>
                <w:sz w:val="21"/>
                <w:szCs w:val="21"/>
                <w:highlight w:val="none"/>
                <w:lang w:val="en-US" w:eastAsia="zh-CN" w:bidi="ar-SA"/>
              </w:rPr>
            </w:p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46DD9F34">
            <w:pPr>
              <w:overflowPunct w:val="0"/>
              <w:adjustRightInd w:val="0"/>
              <w:spacing w:line="460" w:lineRule="exact"/>
              <w:jc w:val="center"/>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lang w:eastAsia="zh-CN"/>
              </w:rPr>
              <w:t>与中国人民银行公布的一年期存款基准利率相比较报价</w:t>
            </w:r>
          </w:p>
        </w:tc>
      </w:tr>
      <w:tr w14:paraId="3D7ED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jc w:val="center"/>
        </w:trPr>
        <w:tc>
          <w:tcPr>
            <w:tcW w:w="619" w:type="dxa"/>
            <w:tcBorders>
              <w:top w:val="single" w:color="auto" w:sz="4" w:space="0"/>
              <w:left w:val="single" w:color="auto" w:sz="4" w:space="0"/>
              <w:bottom w:val="single" w:color="auto" w:sz="4" w:space="0"/>
              <w:right w:val="single" w:color="auto" w:sz="4" w:space="0"/>
            </w:tcBorders>
            <w:vAlign w:val="center"/>
          </w:tcPr>
          <w:p w14:paraId="3234C19E">
            <w:pPr>
              <w:overflowPunct w:val="0"/>
              <w:adjustRightInd w:val="0"/>
              <w:spacing w:line="460" w:lineRule="exact"/>
              <w:jc w:val="center"/>
              <w:rPr>
                <w:rFonts w:hint="eastAsia" w:ascii="黑体" w:hAnsi="黑体" w:eastAsia="黑体"/>
                <w:color w:val="auto"/>
                <w:szCs w:val="21"/>
                <w:highlight w:val="none"/>
                <w:lang w:val="en-US" w:eastAsia="zh-CN"/>
              </w:rPr>
            </w:pPr>
            <w:r>
              <w:rPr>
                <w:rFonts w:hint="eastAsia" w:ascii="黑体" w:hAnsi="黑体" w:eastAsia="黑体"/>
                <w:color w:val="auto"/>
                <w:szCs w:val="21"/>
                <w:highlight w:val="none"/>
                <w:lang w:val="en-US" w:eastAsia="zh-CN"/>
              </w:rPr>
              <w:t>3</w:t>
            </w:r>
          </w:p>
        </w:tc>
        <w:tc>
          <w:tcPr>
            <w:tcW w:w="1194" w:type="dxa"/>
            <w:tcBorders>
              <w:top w:val="single" w:color="auto" w:sz="4" w:space="0"/>
              <w:left w:val="single" w:color="auto" w:sz="4" w:space="0"/>
              <w:bottom w:val="single" w:color="auto" w:sz="4" w:space="0"/>
              <w:right w:val="single" w:color="auto" w:sz="4" w:space="0"/>
            </w:tcBorders>
            <w:vAlign w:val="center"/>
          </w:tcPr>
          <w:p w14:paraId="454DBCFC">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b/>
                <w:color w:val="auto"/>
                <w:szCs w:val="21"/>
                <w:highlight w:val="none"/>
                <w:lang w:eastAsia="zh-CN"/>
              </w:rPr>
              <w:t>定期存款</w:t>
            </w:r>
          </w:p>
        </w:tc>
        <w:tc>
          <w:tcPr>
            <w:tcW w:w="880" w:type="dxa"/>
            <w:tcBorders>
              <w:top w:val="single" w:color="auto" w:sz="4" w:space="0"/>
              <w:left w:val="single" w:color="auto" w:sz="4" w:space="0"/>
              <w:bottom w:val="single" w:color="auto" w:sz="4" w:space="0"/>
              <w:right w:val="single" w:color="auto" w:sz="4" w:space="0"/>
            </w:tcBorders>
            <w:vAlign w:val="center"/>
          </w:tcPr>
          <w:p w14:paraId="46484924">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color w:val="auto"/>
                <w:szCs w:val="21"/>
                <w:highlight w:val="none"/>
                <w:lang w:eastAsia="zh-CN"/>
              </w:rPr>
              <w:t>半年</w:t>
            </w:r>
          </w:p>
        </w:tc>
        <w:tc>
          <w:tcPr>
            <w:tcW w:w="2604" w:type="dxa"/>
            <w:tcBorders>
              <w:top w:val="single" w:color="auto" w:sz="4" w:space="0"/>
              <w:left w:val="single" w:color="auto" w:sz="4" w:space="0"/>
              <w:bottom w:val="single" w:color="auto" w:sz="4" w:space="0"/>
              <w:right w:val="single" w:color="auto" w:sz="4" w:space="0"/>
            </w:tcBorders>
            <w:vAlign w:val="center"/>
          </w:tcPr>
          <w:p w14:paraId="7069C04C">
            <w:pPr>
              <w:overflowPunct w:val="0"/>
              <w:adjustRightInd w:val="0"/>
              <w:spacing w:line="460" w:lineRule="exact"/>
              <w:jc w:val="both"/>
              <w:rPr>
                <w:rFonts w:ascii="黑体" w:hAnsi="黑体" w:eastAsia="黑体"/>
                <w:color w:val="auto"/>
                <w:szCs w:val="21"/>
                <w:highlight w:val="none"/>
                <w:u w:val="single"/>
              </w:rPr>
            </w:pPr>
            <w:r>
              <w:rPr>
                <w:rFonts w:hint="eastAsia" w:ascii="黑体" w:hAnsi="黑体" w:eastAsia="黑体"/>
                <w:color w:val="auto"/>
                <w:szCs w:val="21"/>
                <w:highlight w:val="none"/>
                <w:lang w:eastAsia="zh-CN"/>
              </w:rPr>
              <w:t>小写：</w:t>
            </w:r>
          </w:p>
          <w:p w14:paraId="2C37342E">
            <w:pPr>
              <w:overflowPunct w:val="0"/>
              <w:adjustRightInd w:val="0"/>
              <w:spacing w:line="460" w:lineRule="exact"/>
              <w:jc w:val="both"/>
              <w:rPr>
                <w:rFonts w:hint="eastAsia" w:ascii="黑体" w:hAnsi="黑体" w:eastAsia="黑体"/>
                <w:color w:val="auto"/>
                <w:szCs w:val="21"/>
                <w:highlight w:val="none"/>
              </w:rPr>
            </w:pPr>
            <w:r>
              <w:rPr>
                <w:rFonts w:hint="eastAsia" w:ascii="黑体" w:hAnsi="黑体" w:eastAsia="黑体"/>
                <w:color w:val="auto"/>
                <w:szCs w:val="21"/>
                <w:highlight w:val="none"/>
              </w:rPr>
              <w:t>大写：</w:t>
            </w:r>
          </w:p>
        </w:tc>
        <w:tc>
          <w:tcPr>
            <w:tcW w:w="1432" w:type="dxa"/>
            <w:tcBorders>
              <w:top w:val="single" w:color="auto" w:sz="4" w:space="0"/>
              <w:left w:val="single" w:color="auto" w:sz="4" w:space="0"/>
              <w:bottom w:val="single" w:color="auto" w:sz="4" w:space="0"/>
              <w:right w:val="single" w:color="auto" w:sz="4" w:space="0"/>
            </w:tcBorders>
            <w:vAlign w:val="center"/>
          </w:tcPr>
          <w:p w14:paraId="5A1176FD">
            <w:pPr>
              <w:overflowPunct w:val="0"/>
              <w:adjustRightInd w:val="0"/>
              <w:spacing w:line="460" w:lineRule="exact"/>
              <w:jc w:val="center"/>
              <w:rPr>
                <w:rFonts w:ascii="黑体" w:hAnsi="黑体" w:eastAsia="黑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E10D510">
            <w:pPr>
              <w:overflowPunct w:val="0"/>
              <w:adjustRightInd w:val="0"/>
              <w:spacing w:line="460" w:lineRule="exact"/>
              <w:jc w:val="center"/>
              <w:rPr>
                <w:rFonts w:ascii="黑体" w:hAnsi="黑体" w:eastAsia="黑体"/>
                <w:color w:val="auto"/>
                <w:szCs w:val="21"/>
                <w:highlight w:val="none"/>
              </w:rPr>
            </w:pPr>
            <w:r>
              <w:rPr>
                <w:rFonts w:hint="eastAsia" w:ascii="黑体" w:hAnsi="黑体" w:eastAsia="黑体"/>
                <w:color w:val="auto"/>
                <w:szCs w:val="21"/>
                <w:highlight w:val="none"/>
                <w:lang w:eastAsia="zh-CN"/>
              </w:rPr>
              <w:t>与中国人民银行公布的半年期存款基准利率相比较报价</w:t>
            </w:r>
          </w:p>
        </w:tc>
      </w:tr>
      <w:tr w14:paraId="0672CC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jc w:val="center"/>
        </w:trPr>
        <w:tc>
          <w:tcPr>
            <w:tcW w:w="619" w:type="dxa"/>
            <w:tcBorders>
              <w:top w:val="single" w:color="auto" w:sz="4" w:space="0"/>
              <w:left w:val="single" w:color="auto" w:sz="4" w:space="0"/>
              <w:bottom w:val="single" w:color="auto" w:sz="4" w:space="0"/>
              <w:right w:val="single" w:color="auto" w:sz="4" w:space="0"/>
            </w:tcBorders>
            <w:vAlign w:val="center"/>
          </w:tcPr>
          <w:p w14:paraId="15068CC9">
            <w:pPr>
              <w:overflowPunct w:val="0"/>
              <w:adjustRightInd w:val="0"/>
              <w:spacing w:line="460" w:lineRule="exact"/>
              <w:jc w:val="center"/>
              <w:rPr>
                <w:rFonts w:hint="default" w:ascii="黑体" w:hAnsi="黑体" w:eastAsia="黑体"/>
                <w:color w:val="auto"/>
                <w:szCs w:val="21"/>
                <w:highlight w:val="none"/>
                <w:lang w:val="en-US" w:eastAsia="zh-CN"/>
              </w:rPr>
            </w:pPr>
            <w:r>
              <w:rPr>
                <w:rFonts w:hint="eastAsia" w:ascii="黑体" w:hAnsi="黑体" w:eastAsia="黑体"/>
                <w:color w:val="auto"/>
                <w:szCs w:val="21"/>
                <w:highlight w:val="none"/>
                <w:lang w:val="en-US" w:eastAsia="zh-CN"/>
              </w:rPr>
              <w:t>4</w:t>
            </w:r>
          </w:p>
        </w:tc>
        <w:tc>
          <w:tcPr>
            <w:tcW w:w="1194" w:type="dxa"/>
            <w:tcBorders>
              <w:top w:val="single" w:color="auto" w:sz="4" w:space="0"/>
              <w:left w:val="single" w:color="auto" w:sz="4" w:space="0"/>
              <w:bottom w:val="single" w:color="auto" w:sz="4" w:space="0"/>
              <w:right w:val="single" w:color="auto" w:sz="4" w:space="0"/>
            </w:tcBorders>
            <w:vAlign w:val="center"/>
          </w:tcPr>
          <w:p w14:paraId="72FCA56F">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b/>
                <w:color w:val="auto"/>
                <w:szCs w:val="21"/>
                <w:highlight w:val="none"/>
                <w:lang w:val="en-US" w:eastAsia="zh-CN"/>
              </w:rPr>
              <w:t>大额存单</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7AB4531E">
            <w:pPr>
              <w:overflowPunct w:val="0"/>
              <w:adjustRightInd w:val="0"/>
              <w:spacing w:line="460" w:lineRule="exact"/>
              <w:jc w:val="center"/>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lang w:eastAsia="zh-CN"/>
              </w:rPr>
              <w:t>半年</w:t>
            </w:r>
          </w:p>
        </w:tc>
        <w:tc>
          <w:tcPr>
            <w:tcW w:w="2604" w:type="dxa"/>
            <w:tcBorders>
              <w:top w:val="single" w:color="auto" w:sz="4" w:space="0"/>
              <w:left w:val="single" w:color="auto" w:sz="4" w:space="0"/>
              <w:bottom w:val="single" w:color="auto" w:sz="4" w:space="0"/>
              <w:right w:val="single" w:color="auto" w:sz="4" w:space="0"/>
            </w:tcBorders>
            <w:shd w:val="clear" w:color="auto" w:fill="auto"/>
            <w:vAlign w:val="center"/>
          </w:tcPr>
          <w:p w14:paraId="22F57A9C">
            <w:pPr>
              <w:overflowPunct w:val="0"/>
              <w:adjustRightInd w:val="0"/>
              <w:spacing w:line="460" w:lineRule="exact"/>
              <w:jc w:val="both"/>
              <w:rPr>
                <w:rFonts w:ascii="黑体" w:hAnsi="黑体" w:eastAsia="黑体"/>
                <w:color w:val="auto"/>
                <w:szCs w:val="21"/>
                <w:highlight w:val="none"/>
                <w:u w:val="single"/>
              </w:rPr>
            </w:pPr>
            <w:r>
              <w:rPr>
                <w:rFonts w:hint="eastAsia" w:ascii="黑体" w:hAnsi="黑体" w:eastAsia="黑体"/>
                <w:color w:val="auto"/>
                <w:szCs w:val="21"/>
                <w:highlight w:val="none"/>
                <w:lang w:eastAsia="zh-CN"/>
              </w:rPr>
              <w:t>小写：</w:t>
            </w:r>
          </w:p>
          <w:p w14:paraId="08BB5316">
            <w:pPr>
              <w:overflowPunct w:val="0"/>
              <w:adjustRightInd w:val="0"/>
              <w:spacing w:line="460" w:lineRule="exact"/>
              <w:jc w:val="both"/>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rPr>
              <w:t>大写：</w:t>
            </w:r>
          </w:p>
        </w:tc>
        <w:tc>
          <w:tcPr>
            <w:tcW w:w="1432" w:type="dxa"/>
            <w:tcBorders>
              <w:top w:val="single" w:color="auto" w:sz="4" w:space="0"/>
              <w:left w:val="single" w:color="auto" w:sz="4" w:space="0"/>
              <w:bottom w:val="single" w:color="auto" w:sz="4" w:space="0"/>
              <w:right w:val="single" w:color="auto" w:sz="4" w:space="0"/>
            </w:tcBorders>
            <w:shd w:val="clear" w:color="auto" w:fill="auto"/>
            <w:vAlign w:val="center"/>
          </w:tcPr>
          <w:p w14:paraId="29386BA5">
            <w:pPr>
              <w:overflowPunct w:val="0"/>
              <w:adjustRightInd w:val="0"/>
              <w:spacing w:line="460" w:lineRule="exact"/>
              <w:jc w:val="center"/>
              <w:rPr>
                <w:rFonts w:ascii="黑体" w:hAnsi="黑体" w:eastAsia="黑体" w:cs="Times New Roman"/>
                <w:color w:val="auto"/>
                <w:kern w:val="2"/>
                <w:sz w:val="21"/>
                <w:szCs w:val="21"/>
                <w:highlight w:val="none"/>
                <w:lang w:val="en-US" w:eastAsia="zh-CN" w:bidi="ar-SA"/>
              </w:rPr>
            </w:p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4DFC6CC9">
            <w:pPr>
              <w:overflowPunct w:val="0"/>
              <w:adjustRightInd w:val="0"/>
              <w:spacing w:line="460" w:lineRule="exact"/>
              <w:jc w:val="center"/>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lang w:eastAsia="zh-CN"/>
              </w:rPr>
              <w:t>与中国人民银行公布的半年期存款基准利率相比较报价</w:t>
            </w:r>
          </w:p>
        </w:tc>
      </w:tr>
      <w:tr w14:paraId="3A591E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jc w:val="center"/>
        </w:trPr>
        <w:tc>
          <w:tcPr>
            <w:tcW w:w="619" w:type="dxa"/>
            <w:tcBorders>
              <w:top w:val="single" w:color="auto" w:sz="4" w:space="0"/>
              <w:left w:val="single" w:color="auto" w:sz="4" w:space="0"/>
              <w:bottom w:val="single" w:color="auto" w:sz="4" w:space="0"/>
              <w:right w:val="single" w:color="auto" w:sz="4" w:space="0"/>
            </w:tcBorders>
            <w:vAlign w:val="center"/>
          </w:tcPr>
          <w:p w14:paraId="7DEC9400">
            <w:pPr>
              <w:overflowPunct w:val="0"/>
              <w:adjustRightInd w:val="0"/>
              <w:spacing w:line="460" w:lineRule="exact"/>
              <w:jc w:val="center"/>
              <w:rPr>
                <w:rFonts w:hint="default" w:ascii="黑体" w:hAnsi="黑体" w:eastAsia="黑体"/>
                <w:color w:val="auto"/>
                <w:szCs w:val="21"/>
                <w:highlight w:val="none"/>
                <w:lang w:val="en-US" w:eastAsia="zh-CN"/>
              </w:rPr>
            </w:pPr>
            <w:r>
              <w:rPr>
                <w:rFonts w:hint="eastAsia" w:ascii="黑体" w:hAnsi="黑体" w:eastAsia="黑体"/>
                <w:color w:val="auto"/>
                <w:szCs w:val="21"/>
                <w:highlight w:val="none"/>
                <w:lang w:val="en-US" w:eastAsia="zh-CN"/>
              </w:rPr>
              <w:t>5</w:t>
            </w:r>
          </w:p>
        </w:tc>
        <w:tc>
          <w:tcPr>
            <w:tcW w:w="1194" w:type="dxa"/>
            <w:tcBorders>
              <w:top w:val="single" w:color="auto" w:sz="4" w:space="0"/>
              <w:left w:val="single" w:color="auto" w:sz="4" w:space="0"/>
              <w:bottom w:val="single" w:color="auto" w:sz="4" w:space="0"/>
              <w:right w:val="single" w:color="auto" w:sz="4" w:space="0"/>
            </w:tcBorders>
            <w:vAlign w:val="center"/>
          </w:tcPr>
          <w:p w14:paraId="1F21F2F7">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b/>
                <w:color w:val="auto"/>
                <w:szCs w:val="21"/>
                <w:highlight w:val="none"/>
                <w:lang w:eastAsia="zh-CN"/>
              </w:rPr>
              <w:t>定期存款</w:t>
            </w:r>
          </w:p>
        </w:tc>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BB2F92D">
            <w:pPr>
              <w:overflowPunct w:val="0"/>
              <w:adjustRightInd w:val="0"/>
              <w:spacing w:line="460" w:lineRule="exact"/>
              <w:jc w:val="center"/>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lang w:val="en-US" w:eastAsia="zh-CN"/>
              </w:rPr>
              <w:t>3个月</w:t>
            </w:r>
          </w:p>
        </w:tc>
        <w:tc>
          <w:tcPr>
            <w:tcW w:w="2604" w:type="dxa"/>
            <w:tcBorders>
              <w:top w:val="single" w:color="auto" w:sz="4" w:space="0"/>
              <w:left w:val="single" w:color="auto" w:sz="4" w:space="0"/>
              <w:bottom w:val="single" w:color="auto" w:sz="4" w:space="0"/>
              <w:right w:val="single" w:color="auto" w:sz="4" w:space="0"/>
            </w:tcBorders>
            <w:shd w:val="clear" w:color="auto" w:fill="auto"/>
            <w:vAlign w:val="center"/>
          </w:tcPr>
          <w:p w14:paraId="2721A4FE">
            <w:pPr>
              <w:overflowPunct w:val="0"/>
              <w:adjustRightInd w:val="0"/>
              <w:spacing w:line="460" w:lineRule="exact"/>
              <w:jc w:val="both"/>
              <w:rPr>
                <w:rFonts w:ascii="黑体" w:hAnsi="黑体" w:eastAsia="黑体"/>
                <w:color w:val="auto"/>
                <w:szCs w:val="21"/>
                <w:highlight w:val="none"/>
                <w:u w:val="single"/>
              </w:rPr>
            </w:pPr>
            <w:r>
              <w:rPr>
                <w:rFonts w:hint="eastAsia" w:ascii="黑体" w:hAnsi="黑体" w:eastAsia="黑体"/>
                <w:color w:val="auto"/>
                <w:szCs w:val="21"/>
                <w:highlight w:val="none"/>
                <w:lang w:eastAsia="zh-CN"/>
              </w:rPr>
              <w:t>小写：</w:t>
            </w:r>
          </w:p>
          <w:p w14:paraId="7CE1CC79">
            <w:pPr>
              <w:overflowPunct w:val="0"/>
              <w:adjustRightInd w:val="0"/>
              <w:spacing w:line="460" w:lineRule="exact"/>
              <w:jc w:val="both"/>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rPr>
              <w:t>大写：</w:t>
            </w:r>
          </w:p>
        </w:tc>
        <w:tc>
          <w:tcPr>
            <w:tcW w:w="1432" w:type="dxa"/>
            <w:tcBorders>
              <w:top w:val="single" w:color="auto" w:sz="4" w:space="0"/>
              <w:left w:val="single" w:color="auto" w:sz="4" w:space="0"/>
              <w:bottom w:val="single" w:color="auto" w:sz="4" w:space="0"/>
              <w:right w:val="single" w:color="auto" w:sz="4" w:space="0"/>
            </w:tcBorders>
            <w:shd w:val="clear" w:color="auto" w:fill="auto"/>
            <w:vAlign w:val="center"/>
          </w:tcPr>
          <w:p w14:paraId="600CA19E">
            <w:pPr>
              <w:overflowPunct w:val="0"/>
              <w:adjustRightInd w:val="0"/>
              <w:spacing w:line="460" w:lineRule="exact"/>
              <w:jc w:val="center"/>
              <w:rPr>
                <w:rFonts w:ascii="黑体" w:hAnsi="黑体" w:eastAsia="黑体" w:cs="Times New Roman"/>
                <w:color w:val="auto"/>
                <w:kern w:val="2"/>
                <w:sz w:val="21"/>
                <w:szCs w:val="21"/>
                <w:highlight w:val="none"/>
                <w:lang w:val="en-US" w:eastAsia="zh-CN" w:bidi="ar-SA"/>
              </w:rPr>
            </w:pP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14:paraId="43D0EDFB">
            <w:pPr>
              <w:overflowPunct w:val="0"/>
              <w:adjustRightInd w:val="0"/>
              <w:spacing w:line="460" w:lineRule="exact"/>
              <w:jc w:val="center"/>
              <w:rPr>
                <w:rFonts w:hint="eastAsia" w:ascii="黑体" w:hAnsi="黑体" w:eastAsia="黑体" w:cs="Times New Roman"/>
                <w:color w:val="auto"/>
                <w:kern w:val="2"/>
                <w:sz w:val="21"/>
                <w:szCs w:val="21"/>
                <w:highlight w:val="none"/>
                <w:lang w:val="en-US" w:eastAsia="zh-CN" w:bidi="ar-SA"/>
              </w:rPr>
            </w:pPr>
            <w:r>
              <w:rPr>
                <w:rFonts w:hint="eastAsia" w:ascii="黑体" w:hAnsi="黑体" w:eastAsia="黑体"/>
                <w:color w:val="auto"/>
                <w:szCs w:val="21"/>
                <w:highlight w:val="none"/>
                <w:lang w:eastAsia="zh-CN"/>
              </w:rPr>
              <w:t>与中国人民银行公布的</w:t>
            </w:r>
            <w:r>
              <w:rPr>
                <w:rFonts w:hint="eastAsia" w:ascii="黑体" w:hAnsi="黑体" w:eastAsia="黑体"/>
                <w:color w:val="auto"/>
                <w:szCs w:val="21"/>
                <w:highlight w:val="none"/>
                <w:lang w:val="en-US" w:eastAsia="zh-CN"/>
              </w:rPr>
              <w:t>3个月</w:t>
            </w:r>
            <w:r>
              <w:rPr>
                <w:rFonts w:hint="eastAsia" w:ascii="黑体" w:hAnsi="黑体" w:eastAsia="黑体"/>
                <w:color w:val="auto"/>
                <w:szCs w:val="21"/>
                <w:highlight w:val="none"/>
                <w:lang w:eastAsia="zh-CN"/>
              </w:rPr>
              <w:t>存款基准利率相比较报价</w:t>
            </w:r>
          </w:p>
        </w:tc>
      </w:tr>
      <w:tr w14:paraId="5F4F4E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jc w:val="center"/>
        </w:trPr>
        <w:tc>
          <w:tcPr>
            <w:tcW w:w="619" w:type="dxa"/>
            <w:tcBorders>
              <w:top w:val="single" w:color="auto" w:sz="4" w:space="0"/>
              <w:left w:val="single" w:color="auto" w:sz="4" w:space="0"/>
              <w:bottom w:val="single" w:color="auto" w:sz="4" w:space="0"/>
              <w:right w:val="single" w:color="auto" w:sz="4" w:space="0"/>
            </w:tcBorders>
            <w:vAlign w:val="center"/>
          </w:tcPr>
          <w:p w14:paraId="21DF1CCF">
            <w:pPr>
              <w:overflowPunct w:val="0"/>
              <w:adjustRightInd w:val="0"/>
              <w:spacing w:line="460" w:lineRule="exact"/>
              <w:jc w:val="center"/>
              <w:rPr>
                <w:rFonts w:hint="eastAsia" w:ascii="黑体" w:hAnsi="黑体" w:eastAsia="黑体"/>
                <w:color w:val="auto"/>
                <w:szCs w:val="21"/>
                <w:highlight w:val="none"/>
                <w:lang w:val="en-US" w:eastAsia="zh-CN"/>
              </w:rPr>
            </w:pPr>
            <w:r>
              <w:rPr>
                <w:rFonts w:hint="eastAsia" w:ascii="黑体" w:hAnsi="黑体" w:eastAsia="黑体"/>
                <w:color w:val="auto"/>
                <w:szCs w:val="21"/>
                <w:highlight w:val="none"/>
                <w:lang w:val="en-US" w:eastAsia="zh-CN"/>
              </w:rPr>
              <w:t>6</w:t>
            </w:r>
          </w:p>
        </w:tc>
        <w:tc>
          <w:tcPr>
            <w:tcW w:w="1194" w:type="dxa"/>
            <w:tcBorders>
              <w:top w:val="single" w:color="auto" w:sz="4" w:space="0"/>
              <w:left w:val="single" w:color="auto" w:sz="4" w:space="0"/>
              <w:bottom w:val="single" w:color="auto" w:sz="4" w:space="0"/>
              <w:right w:val="single" w:color="auto" w:sz="4" w:space="0"/>
            </w:tcBorders>
            <w:vAlign w:val="center"/>
          </w:tcPr>
          <w:p w14:paraId="116A7137">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b/>
                <w:color w:val="auto"/>
                <w:szCs w:val="21"/>
                <w:highlight w:val="none"/>
                <w:lang w:val="en-US" w:eastAsia="zh-CN"/>
              </w:rPr>
              <w:t>大额存单</w:t>
            </w:r>
          </w:p>
        </w:tc>
        <w:tc>
          <w:tcPr>
            <w:tcW w:w="880" w:type="dxa"/>
            <w:tcBorders>
              <w:top w:val="single" w:color="auto" w:sz="4" w:space="0"/>
              <w:left w:val="single" w:color="auto" w:sz="4" w:space="0"/>
              <w:bottom w:val="single" w:color="auto" w:sz="4" w:space="0"/>
              <w:right w:val="single" w:color="auto" w:sz="4" w:space="0"/>
            </w:tcBorders>
            <w:vAlign w:val="center"/>
          </w:tcPr>
          <w:p w14:paraId="5E455309">
            <w:pPr>
              <w:overflowPunct w:val="0"/>
              <w:adjustRightInd w:val="0"/>
              <w:spacing w:line="460" w:lineRule="exact"/>
              <w:jc w:val="center"/>
              <w:rPr>
                <w:rFonts w:hint="eastAsia" w:ascii="黑体" w:hAnsi="黑体" w:eastAsia="黑体"/>
                <w:color w:val="auto"/>
                <w:szCs w:val="21"/>
                <w:highlight w:val="none"/>
                <w:lang w:eastAsia="zh-CN"/>
              </w:rPr>
            </w:pPr>
            <w:r>
              <w:rPr>
                <w:rFonts w:hint="eastAsia" w:ascii="黑体" w:hAnsi="黑体" w:eastAsia="黑体"/>
                <w:color w:val="auto"/>
                <w:szCs w:val="21"/>
                <w:highlight w:val="none"/>
                <w:lang w:val="en-US" w:eastAsia="zh-CN"/>
              </w:rPr>
              <w:t>3个月</w:t>
            </w:r>
          </w:p>
        </w:tc>
        <w:tc>
          <w:tcPr>
            <w:tcW w:w="2604" w:type="dxa"/>
            <w:tcBorders>
              <w:top w:val="single" w:color="auto" w:sz="4" w:space="0"/>
              <w:left w:val="single" w:color="auto" w:sz="4" w:space="0"/>
              <w:bottom w:val="single" w:color="auto" w:sz="4" w:space="0"/>
              <w:right w:val="single" w:color="auto" w:sz="4" w:space="0"/>
            </w:tcBorders>
            <w:vAlign w:val="center"/>
          </w:tcPr>
          <w:p w14:paraId="0ADD7D28">
            <w:pPr>
              <w:overflowPunct w:val="0"/>
              <w:adjustRightInd w:val="0"/>
              <w:spacing w:line="460" w:lineRule="exact"/>
              <w:jc w:val="both"/>
              <w:rPr>
                <w:rFonts w:ascii="黑体" w:hAnsi="黑体" w:eastAsia="黑体"/>
                <w:color w:val="auto"/>
                <w:szCs w:val="21"/>
                <w:highlight w:val="none"/>
                <w:u w:val="single"/>
              </w:rPr>
            </w:pPr>
            <w:r>
              <w:rPr>
                <w:rFonts w:hint="eastAsia" w:ascii="黑体" w:hAnsi="黑体" w:eastAsia="黑体"/>
                <w:color w:val="auto"/>
                <w:szCs w:val="21"/>
                <w:highlight w:val="none"/>
                <w:lang w:eastAsia="zh-CN"/>
              </w:rPr>
              <w:t>小写：</w:t>
            </w:r>
          </w:p>
          <w:p w14:paraId="445637F6">
            <w:pPr>
              <w:overflowPunct w:val="0"/>
              <w:adjustRightInd w:val="0"/>
              <w:spacing w:line="460" w:lineRule="exact"/>
              <w:jc w:val="both"/>
              <w:rPr>
                <w:rFonts w:ascii="黑体" w:hAnsi="黑体" w:eastAsia="黑体"/>
                <w:color w:val="auto"/>
                <w:szCs w:val="21"/>
                <w:highlight w:val="none"/>
              </w:rPr>
            </w:pPr>
            <w:r>
              <w:rPr>
                <w:rFonts w:hint="eastAsia" w:ascii="黑体" w:hAnsi="黑体" w:eastAsia="黑体"/>
                <w:color w:val="auto"/>
                <w:szCs w:val="21"/>
                <w:highlight w:val="none"/>
              </w:rPr>
              <w:t>大写：</w:t>
            </w:r>
          </w:p>
        </w:tc>
        <w:tc>
          <w:tcPr>
            <w:tcW w:w="1432" w:type="dxa"/>
            <w:tcBorders>
              <w:top w:val="single" w:color="auto" w:sz="4" w:space="0"/>
              <w:left w:val="single" w:color="auto" w:sz="4" w:space="0"/>
              <w:bottom w:val="single" w:color="auto" w:sz="4" w:space="0"/>
              <w:right w:val="single" w:color="auto" w:sz="4" w:space="0"/>
            </w:tcBorders>
            <w:vAlign w:val="center"/>
          </w:tcPr>
          <w:p w14:paraId="55BEF45C">
            <w:pPr>
              <w:overflowPunct w:val="0"/>
              <w:adjustRightInd w:val="0"/>
              <w:spacing w:line="460" w:lineRule="exact"/>
              <w:jc w:val="center"/>
              <w:rPr>
                <w:rFonts w:ascii="黑体" w:hAnsi="黑体" w:eastAsia="黑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CB4B81B">
            <w:pPr>
              <w:overflowPunct w:val="0"/>
              <w:adjustRightInd w:val="0"/>
              <w:spacing w:line="460" w:lineRule="exact"/>
              <w:jc w:val="center"/>
              <w:rPr>
                <w:rFonts w:ascii="黑体" w:hAnsi="黑体" w:eastAsia="黑体"/>
                <w:color w:val="auto"/>
                <w:szCs w:val="21"/>
                <w:highlight w:val="none"/>
              </w:rPr>
            </w:pPr>
            <w:r>
              <w:rPr>
                <w:rFonts w:hint="eastAsia" w:ascii="黑体" w:hAnsi="黑体" w:eastAsia="黑体"/>
                <w:color w:val="auto"/>
                <w:szCs w:val="21"/>
                <w:highlight w:val="none"/>
                <w:lang w:eastAsia="zh-CN"/>
              </w:rPr>
              <w:t>与中国人民银行公布的</w:t>
            </w:r>
            <w:r>
              <w:rPr>
                <w:rFonts w:hint="eastAsia" w:ascii="黑体" w:hAnsi="黑体" w:eastAsia="黑体"/>
                <w:color w:val="auto"/>
                <w:szCs w:val="21"/>
                <w:highlight w:val="none"/>
                <w:lang w:val="en-US" w:eastAsia="zh-CN"/>
              </w:rPr>
              <w:t>3个月</w:t>
            </w:r>
            <w:r>
              <w:rPr>
                <w:rFonts w:hint="eastAsia" w:ascii="黑体" w:hAnsi="黑体" w:eastAsia="黑体"/>
                <w:color w:val="auto"/>
                <w:szCs w:val="21"/>
                <w:highlight w:val="none"/>
                <w:lang w:eastAsia="zh-CN"/>
              </w:rPr>
              <w:t>存款基准利率相比较报价</w:t>
            </w:r>
          </w:p>
        </w:tc>
      </w:tr>
    </w:tbl>
    <w:p w14:paraId="1A2EA530">
      <w:pPr>
        <w:spacing w:beforeLines="100" w:line="360" w:lineRule="auto"/>
        <w:rPr>
          <w:rFonts w:ascii="黑体" w:hAnsi="黑体" w:eastAsia="黑体"/>
          <w:color w:val="auto"/>
          <w:szCs w:val="21"/>
          <w:highlight w:val="none"/>
        </w:rPr>
      </w:pPr>
      <w:r>
        <w:rPr>
          <w:rFonts w:hint="eastAsia" w:ascii="黑体" w:hAnsi="黑体" w:eastAsia="黑体"/>
          <w:color w:val="auto"/>
          <w:szCs w:val="21"/>
          <w:highlight w:val="none"/>
        </w:rPr>
        <w:t>注明：</w:t>
      </w:r>
    </w:p>
    <w:p w14:paraId="0EBE32DB">
      <w:pPr>
        <w:pStyle w:val="32"/>
        <w:numPr>
          <w:ilvl w:val="0"/>
          <w:numId w:val="72"/>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投标总报价栏须用文字和数字两种方式表示投标报价。</w:t>
      </w:r>
    </w:p>
    <w:p w14:paraId="0CFDA80E">
      <w:pPr>
        <w:pStyle w:val="32"/>
        <w:numPr>
          <w:ilvl w:val="0"/>
          <w:numId w:val="72"/>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开标一览表内容与投标文件中相应内容不一致的，以开标一览表为准。</w:t>
      </w:r>
    </w:p>
    <w:p w14:paraId="14CBE2CD">
      <w:pPr>
        <w:pStyle w:val="32"/>
        <w:numPr>
          <w:ilvl w:val="0"/>
          <w:numId w:val="72"/>
        </w:numPr>
        <w:spacing w:line="360" w:lineRule="auto"/>
        <w:ind w:firstLineChars="0"/>
        <w:rPr>
          <w:rFonts w:ascii="黑体" w:hAnsi="黑体" w:eastAsia="黑体"/>
          <w:color w:val="auto"/>
          <w:szCs w:val="21"/>
          <w:highlight w:val="none"/>
        </w:rPr>
      </w:pPr>
      <w:r>
        <w:rPr>
          <w:rFonts w:hint="eastAsia" w:ascii="黑体" w:hAnsi="黑体" w:eastAsia="黑体"/>
          <w:color w:val="auto"/>
          <w:szCs w:val="21"/>
          <w:highlight w:val="none"/>
        </w:rPr>
        <w:t>大写数额和小写数额不一致的，以大写数额为准。</w:t>
      </w:r>
    </w:p>
    <w:p w14:paraId="0F0D5B64">
      <w:pPr>
        <w:pStyle w:val="32"/>
        <w:numPr>
          <w:ilvl w:val="0"/>
          <w:numId w:val="72"/>
        </w:numPr>
        <w:spacing w:line="360" w:lineRule="auto"/>
        <w:ind w:firstLineChars="0"/>
        <w:rPr>
          <w:rFonts w:ascii="黑体" w:hAnsi="黑体" w:eastAsia="黑体"/>
          <w:b w:val="0"/>
          <w:bCs/>
          <w:color w:val="auto"/>
          <w:szCs w:val="21"/>
          <w:highlight w:val="none"/>
        </w:rPr>
      </w:pPr>
      <w:r>
        <w:rPr>
          <w:rFonts w:hint="eastAsia" w:ascii="黑体" w:hAnsi="黑体" w:eastAsia="黑体"/>
          <w:b w:val="0"/>
          <w:bCs/>
          <w:color w:val="auto"/>
          <w:szCs w:val="21"/>
          <w:highlight w:val="none"/>
          <w:lang w:val="en-US" w:eastAsia="zh-CN"/>
        </w:rPr>
        <w:t>利率水平与</w:t>
      </w:r>
      <w:r>
        <w:rPr>
          <w:rFonts w:hint="eastAsia" w:ascii="黑体" w:hAnsi="黑体" w:eastAsia="黑体"/>
          <w:b w:val="0"/>
          <w:bCs/>
          <w:color w:val="auto"/>
          <w:szCs w:val="21"/>
          <w:highlight w:val="none"/>
          <w:lang w:eastAsia="zh-CN"/>
        </w:rPr>
        <w:t>与中国人民银行公布的存款基准利率</w:t>
      </w:r>
      <w:r>
        <w:rPr>
          <w:rFonts w:hint="eastAsia" w:ascii="黑体" w:hAnsi="黑体" w:eastAsia="黑体"/>
          <w:b w:val="0"/>
          <w:bCs/>
          <w:color w:val="auto"/>
          <w:szCs w:val="21"/>
          <w:highlight w:val="none"/>
          <w:lang w:val="en-US" w:eastAsia="zh-CN"/>
        </w:rPr>
        <w:t>±浮动基点（BP）计算结果不一致，以</w:t>
      </w:r>
      <w:r>
        <w:rPr>
          <w:rFonts w:hint="eastAsia" w:ascii="黑体" w:hAnsi="黑体" w:eastAsia="黑体"/>
          <w:b w:val="0"/>
          <w:bCs/>
          <w:color w:val="auto"/>
          <w:szCs w:val="21"/>
          <w:highlight w:val="none"/>
          <w:lang w:eastAsia="zh-CN"/>
        </w:rPr>
        <w:t>中国人民银行公布的存款基准利率</w:t>
      </w:r>
      <w:r>
        <w:rPr>
          <w:rFonts w:hint="eastAsia" w:ascii="黑体" w:hAnsi="黑体" w:eastAsia="黑体"/>
          <w:b w:val="0"/>
          <w:bCs/>
          <w:color w:val="auto"/>
          <w:szCs w:val="21"/>
          <w:highlight w:val="none"/>
          <w:lang w:val="en-US" w:eastAsia="zh-CN"/>
        </w:rPr>
        <w:t>±浮动基点（BP）计算结果的利率为准。</w:t>
      </w:r>
    </w:p>
    <w:p w14:paraId="2D2EAEA5">
      <w:pPr>
        <w:pStyle w:val="32"/>
        <w:numPr>
          <w:ilvl w:val="0"/>
          <w:numId w:val="0"/>
        </w:numPr>
        <w:spacing w:line="360" w:lineRule="auto"/>
        <w:ind w:leftChars="0"/>
        <w:rPr>
          <w:color w:val="auto"/>
        </w:rPr>
      </w:pPr>
    </w:p>
    <w:p w14:paraId="6E460A51">
      <w:pPr>
        <w:pStyle w:val="32"/>
        <w:numPr>
          <w:ilvl w:val="0"/>
          <w:numId w:val="0"/>
        </w:numPr>
        <w:spacing w:line="360" w:lineRule="auto"/>
        <w:ind w:leftChars="0"/>
        <w:rPr>
          <w:color w:val="auto"/>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35"/>
        <w:gridCol w:w="6293"/>
      </w:tblGrid>
      <w:tr w14:paraId="7418C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235" w:type="dxa"/>
            <w:vAlign w:val="top"/>
          </w:tcPr>
          <w:p w14:paraId="688DAE2C">
            <w:pPr>
              <w:spacing w:line="360" w:lineRule="auto"/>
              <w:rPr>
                <w:rFonts w:ascii="黑体" w:hAnsi="黑体" w:eastAsia="黑体"/>
                <w:color w:val="auto"/>
                <w:szCs w:val="21"/>
                <w:highlight w:val="none"/>
              </w:rPr>
            </w:pPr>
          </w:p>
        </w:tc>
        <w:tc>
          <w:tcPr>
            <w:tcW w:w="6293" w:type="dxa"/>
            <w:vAlign w:val="top"/>
          </w:tcPr>
          <w:p w14:paraId="4AD2A031">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r>
      <w:tr w14:paraId="51F7E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top"/>
          </w:tcPr>
          <w:p w14:paraId="59D3D954">
            <w:pPr>
              <w:spacing w:line="360" w:lineRule="auto"/>
              <w:rPr>
                <w:rFonts w:ascii="黑体" w:hAnsi="黑体" w:eastAsia="黑体"/>
                <w:color w:val="auto"/>
                <w:szCs w:val="21"/>
                <w:highlight w:val="none"/>
              </w:rPr>
            </w:pPr>
          </w:p>
        </w:tc>
        <w:tc>
          <w:tcPr>
            <w:tcW w:w="6293" w:type="dxa"/>
            <w:vAlign w:val="top"/>
          </w:tcPr>
          <w:p w14:paraId="60C0E077">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投标人法定(负责人)代表人或被授权人（签名或盖私章）：</w:t>
            </w:r>
            <w:r>
              <w:rPr>
                <w:rFonts w:hint="eastAsia" w:ascii="黑体" w:hAnsi="黑体" w:eastAsia="黑体"/>
                <w:color w:val="auto"/>
                <w:szCs w:val="21"/>
                <w:highlight w:val="none"/>
                <w:u w:val="single"/>
              </w:rPr>
              <w:t xml:space="preserve">        </w:t>
            </w:r>
          </w:p>
        </w:tc>
      </w:tr>
      <w:tr w14:paraId="50CAC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35" w:type="dxa"/>
            <w:vAlign w:val="top"/>
          </w:tcPr>
          <w:p w14:paraId="2B6FC5C2">
            <w:pPr>
              <w:spacing w:line="360" w:lineRule="auto"/>
              <w:rPr>
                <w:rFonts w:ascii="黑体" w:hAnsi="黑体" w:eastAsia="黑体"/>
                <w:color w:val="auto"/>
                <w:szCs w:val="21"/>
                <w:highlight w:val="none"/>
              </w:rPr>
            </w:pPr>
          </w:p>
        </w:tc>
        <w:tc>
          <w:tcPr>
            <w:tcW w:w="6293" w:type="dxa"/>
            <w:vAlign w:val="top"/>
          </w:tcPr>
          <w:p w14:paraId="449CD69A">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r>
    </w:tbl>
    <w:p w14:paraId="1255CD66">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359905F7">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64119794">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68359DA0">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70E77E83">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1802522B">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6B177215">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1E976757">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5CEE3A27">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6A8A416A">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5A9F94CA">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0E2A973F">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53C8B912">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1DB31E1B">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70D5EBF3">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02CA019E">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35C9F1CF">
      <w:pPr>
        <w:keepNext w:val="0"/>
        <w:keepLines w:val="0"/>
        <w:pageBreakBefore w:val="0"/>
        <w:widowControl w:val="0"/>
        <w:kinsoku/>
        <w:overflowPunct/>
        <w:topLinePunct w:val="0"/>
        <w:autoSpaceDE/>
        <w:autoSpaceDN/>
        <w:bidi w:val="0"/>
        <w:adjustRightInd/>
        <w:snapToGrid/>
        <w:spacing w:line="600" w:lineRule="exact"/>
        <w:ind w:firstLine="470" w:firstLineChars="200"/>
        <w:jc w:val="left"/>
        <w:textAlignment w:val="auto"/>
        <w:rPr>
          <w:rStyle w:val="23"/>
          <w:rFonts w:hint="eastAsia" w:ascii="黑体" w:hAnsi="黑体" w:eastAsia="黑体"/>
          <w:b/>
          <w:bCs w:val="0"/>
          <w:color w:val="auto"/>
          <w:spacing w:val="12"/>
          <w:sz w:val="21"/>
          <w:highlight w:val="none"/>
        </w:rPr>
      </w:pPr>
    </w:p>
    <w:p w14:paraId="22DF2731">
      <w:pPr>
        <w:keepNext w:val="0"/>
        <w:keepLines w:val="0"/>
        <w:pageBreakBefore w:val="0"/>
        <w:widowControl w:val="0"/>
        <w:kinsoku/>
        <w:overflowPunct/>
        <w:topLinePunct w:val="0"/>
        <w:autoSpaceDE/>
        <w:autoSpaceDN/>
        <w:bidi w:val="0"/>
        <w:adjustRightInd/>
        <w:snapToGrid/>
        <w:spacing w:line="600" w:lineRule="exact"/>
        <w:jc w:val="left"/>
        <w:textAlignment w:val="auto"/>
        <w:rPr>
          <w:rStyle w:val="23"/>
          <w:rFonts w:hint="eastAsia" w:ascii="黑体" w:hAnsi="黑体" w:eastAsia="黑体"/>
          <w:b/>
          <w:bCs w:val="0"/>
          <w:color w:val="auto"/>
          <w:spacing w:val="12"/>
          <w:sz w:val="21"/>
          <w:highlight w:val="none"/>
        </w:rPr>
      </w:pPr>
      <w:r>
        <w:rPr>
          <w:rStyle w:val="23"/>
          <w:rFonts w:hint="eastAsia" w:ascii="黑体" w:hAnsi="黑体" w:eastAsia="黑体"/>
          <w:b/>
          <w:bCs w:val="0"/>
          <w:color w:val="auto"/>
          <w:spacing w:val="12"/>
          <w:sz w:val="21"/>
          <w:highlight w:val="none"/>
        </w:rPr>
        <w:t>附件</w:t>
      </w:r>
      <w:r>
        <w:rPr>
          <w:rStyle w:val="23"/>
          <w:rFonts w:hint="eastAsia" w:ascii="黑体" w:hAnsi="黑体" w:eastAsia="黑体"/>
          <w:b/>
          <w:bCs w:val="0"/>
          <w:color w:val="auto"/>
          <w:spacing w:val="12"/>
          <w:sz w:val="21"/>
          <w:highlight w:val="none"/>
          <w:lang w:val="en-US" w:eastAsia="zh-CN"/>
        </w:rPr>
        <w:t>9</w:t>
      </w:r>
      <w:r>
        <w:rPr>
          <w:rStyle w:val="23"/>
          <w:rFonts w:hint="eastAsia" w:ascii="黑体" w:hAnsi="黑体" w:eastAsia="黑体"/>
          <w:b/>
          <w:bCs w:val="0"/>
          <w:color w:val="auto"/>
          <w:spacing w:val="12"/>
          <w:sz w:val="21"/>
          <w:highlight w:val="none"/>
        </w:rPr>
        <w:t xml:space="preserve"> 廉政承诺书</w:t>
      </w:r>
    </w:p>
    <w:p w14:paraId="590270DB">
      <w:pPr>
        <w:keepNext w:val="0"/>
        <w:keepLines w:val="0"/>
        <w:pageBreakBefore w:val="0"/>
        <w:widowControl w:val="0"/>
        <w:kinsoku/>
        <w:overflowPunct/>
        <w:topLinePunct w:val="0"/>
        <w:autoSpaceDE/>
        <w:autoSpaceDN/>
        <w:bidi w:val="0"/>
        <w:adjustRightInd/>
        <w:snapToGrid/>
        <w:spacing w:line="600" w:lineRule="exact"/>
        <w:ind w:firstLine="470" w:firstLineChars="200"/>
        <w:jc w:val="center"/>
        <w:textAlignment w:val="auto"/>
        <w:rPr>
          <w:rStyle w:val="23"/>
          <w:rFonts w:hint="eastAsia" w:ascii="黑体" w:hAnsi="黑体" w:eastAsia="黑体"/>
          <w:b/>
          <w:bCs w:val="0"/>
          <w:color w:val="auto"/>
          <w:spacing w:val="12"/>
          <w:sz w:val="21"/>
          <w:highlight w:val="none"/>
        </w:rPr>
      </w:pPr>
      <w:r>
        <w:rPr>
          <w:rStyle w:val="23"/>
          <w:rFonts w:hint="eastAsia" w:ascii="黑体" w:hAnsi="黑体" w:eastAsia="黑体"/>
          <w:b/>
          <w:bCs w:val="0"/>
          <w:color w:val="auto"/>
          <w:spacing w:val="12"/>
          <w:sz w:val="21"/>
          <w:highlight w:val="none"/>
        </w:rPr>
        <w:t xml:space="preserve"> </w:t>
      </w:r>
    </w:p>
    <w:p w14:paraId="3297796A">
      <w:pPr>
        <w:keepNext w:val="0"/>
        <w:keepLines w:val="0"/>
        <w:pageBreakBefore w:val="0"/>
        <w:widowControl w:val="0"/>
        <w:kinsoku/>
        <w:overflowPunct/>
        <w:topLinePunct w:val="0"/>
        <w:autoSpaceDE/>
        <w:autoSpaceDN/>
        <w:bidi w:val="0"/>
        <w:adjustRightInd/>
        <w:snapToGrid/>
        <w:spacing w:line="600" w:lineRule="exact"/>
        <w:ind w:firstLine="420" w:firstLineChars="200"/>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廉政承诺书</w:t>
      </w:r>
    </w:p>
    <w:p w14:paraId="094A3519">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黑体" w:hAnsi="黑体" w:eastAsia="黑体" w:cs="黑体"/>
          <w:color w:val="auto"/>
          <w:sz w:val="21"/>
          <w:szCs w:val="21"/>
          <w:highlight w:val="none"/>
        </w:rPr>
      </w:pPr>
    </w:p>
    <w:p w14:paraId="209B550E">
      <w:pPr>
        <w:keepNext w:val="0"/>
        <w:keepLines w:val="0"/>
        <w:pageBreakBefore w:val="0"/>
        <w:widowControl w:val="0"/>
        <w:kinsoku/>
        <w:overflowPunct/>
        <w:topLinePunct w:val="0"/>
        <w:autoSpaceDE/>
        <w:autoSpaceDN/>
        <w:bidi w:val="0"/>
        <w:adjustRightInd/>
        <w:snapToGrid/>
        <w:spacing w:line="600" w:lineRule="exact"/>
        <w:ind w:firstLine="420" w:firstLineChars="20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东莞</w:t>
      </w:r>
      <w:r>
        <w:rPr>
          <w:rFonts w:hint="eastAsia" w:ascii="黑体" w:hAnsi="黑体" w:eastAsia="黑体" w:cs="黑体"/>
          <w:color w:val="auto"/>
          <w:sz w:val="21"/>
          <w:szCs w:val="21"/>
          <w:highlight w:val="none"/>
          <w:lang w:eastAsia="zh-CN"/>
        </w:rPr>
        <w:t>松山湖高新技术产业开发区管理委员会</w:t>
      </w:r>
      <w:r>
        <w:rPr>
          <w:rFonts w:hint="eastAsia" w:ascii="黑体" w:hAnsi="黑体" w:eastAsia="黑体" w:cs="黑体"/>
          <w:color w:val="auto"/>
          <w:sz w:val="21"/>
          <w:szCs w:val="21"/>
          <w:highlight w:val="none"/>
        </w:rPr>
        <w:t>：</w:t>
      </w:r>
    </w:p>
    <w:p w14:paraId="5BB67B3A">
      <w:pPr>
        <w:keepNext w:val="0"/>
        <w:keepLines w:val="0"/>
        <w:pageBreakBefore w:val="0"/>
        <w:widowControl w:val="0"/>
        <w:kinsoku/>
        <w:overflowPunct/>
        <w:topLinePunct w:val="0"/>
        <w:autoSpaceDE/>
        <w:autoSpaceDN/>
        <w:bidi w:val="0"/>
        <w:adjustRightInd/>
        <w:snapToGrid/>
        <w:spacing w:line="600" w:lineRule="exact"/>
        <w:ind w:firstLine="420" w:firstLineChars="20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 现</w:t>
      </w:r>
      <w:r>
        <w:rPr>
          <w:rFonts w:hint="eastAsia" w:ascii="黑体" w:hAnsi="黑体" w:eastAsia="黑体" w:cs="黑体"/>
          <w:color w:val="auto"/>
          <w:sz w:val="21"/>
          <w:szCs w:val="21"/>
          <w:highlight w:val="none"/>
          <w:lang w:val="en-US" w:eastAsia="zh-CN"/>
        </w:rPr>
        <w:t>XX银行</w:t>
      </w:r>
      <w:r>
        <w:rPr>
          <w:rFonts w:hint="eastAsia" w:ascii="黑体" w:hAnsi="黑体" w:eastAsia="黑体" w:cs="黑体"/>
          <w:color w:val="auto"/>
          <w:sz w:val="21"/>
          <w:szCs w:val="21"/>
          <w:highlight w:val="none"/>
        </w:rPr>
        <w:t>对贵单位存放在我行的财政资金作出以下承诺，以保证资金存放合规合理，无任何违规违纪和利益输送行为。若有违反，我行甘愿接受财政部门的通报批评、收回存放资金、取消存放资金和赔偿损失等处罚，并承担相关法律责任。</w:t>
      </w:r>
    </w:p>
    <w:p w14:paraId="5698E0EA">
      <w:pPr>
        <w:keepNext w:val="0"/>
        <w:keepLines w:val="0"/>
        <w:pageBreakBefore w:val="0"/>
        <w:widowControl w:val="0"/>
        <w:numPr>
          <w:ilvl w:val="0"/>
          <w:numId w:val="73"/>
        </w:numPr>
        <w:kinsoku/>
        <w:overflowPunct/>
        <w:topLinePunct w:val="0"/>
        <w:autoSpaceDE/>
        <w:autoSpaceDN/>
        <w:bidi w:val="0"/>
        <w:adjustRightInd/>
        <w:snapToGrid/>
        <w:spacing w:line="600" w:lineRule="exact"/>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不向贵单位相关负责人输送任何利益。</w:t>
      </w:r>
    </w:p>
    <w:p w14:paraId="2749FF7C">
      <w:pPr>
        <w:keepNext w:val="0"/>
        <w:keepLines w:val="0"/>
        <w:pageBreakBefore w:val="0"/>
        <w:widowControl w:val="0"/>
        <w:numPr>
          <w:ilvl w:val="0"/>
          <w:numId w:val="73"/>
        </w:numPr>
        <w:kinsoku/>
        <w:overflowPunct/>
        <w:topLinePunct w:val="0"/>
        <w:autoSpaceDE/>
        <w:autoSpaceDN/>
        <w:bidi w:val="0"/>
        <w:adjustRightInd/>
        <w:snapToGrid/>
        <w:spacing w:line="600" w:lineRule="exact"/>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不将资金存放与贵单位相关负责人在本行亲属的业务、收入挂钩。</w:t>
      </w:r>
    </w:p>
    <w:p w14:paraId="20AB4CA9">
      <w:pPr>
        <w:keepNext w:val="0"/>
        <w:keepLines w:val="0"/>
        <w:pageBreakBefore w:val="0"/>
        <w:widowControl w:val="0"/>
        <w:kinsoku/>
        <w:overflowPunct/>
        <w:topLinePunct w:val="0"/>
        <w:autoSpaceDE/>
        <w:autoSpaceDN/>
        <w:bidi w:val="0"/>
        <w:adjustRightInd/>
        <w:snapToGrid/>
        <w:spacing w:line="600" w:lineRule="exact"/>
        <w:ind w:firstLine="420" w:firstLineChars="20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 </w:t>
      </w:r>
    </w:p>
    <w:p w14:paraId="1D6D37D2">
      <w:pPr>
        <w:keepNext w:val="0"/>
        <w:keepLines w:val="0"/>
        <w:pageBreakBefore w:val="0"/>
        <w:widowControl w:val="0"/>
        <w:kinsoku/>
        <w:overflowPunct/>
        <w:topLinePunct w:val="0"/>
        <w:autoSpaceDE/>
        <w:autoSpaceDN/>
        <w:bidi w:val="0"/>
        <w:adjustRightInd/>
        <w:snapToGrid/>
        <w:spacing w:line="600" w:lineRule="exact"/>
        <w:ind w:firstLine="420" w:firstLineChars="20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 </w:t>
      </w:r>
    </w:p>
    <w:p w14:paraId="0DD6ED2A">
      <w:pPr>
        <w:keepNext w:val="0"/>
        <w:keepLines w:val="0"/>
        <w:pageBreakBefore w:val="0"/>
        <w:widowControl w:val="0"/>
        <w:kinsoku/>
        <w:overflowPunct/>
        <w:topLinePunct w:val="0"/>
        <w:autoSpaceDE/>
        <w:autoSpaceDN/>
        <w:bidi w:val="0"/>
        <w:adjustRightInd/>
        <w:snapToGrid/>
        <w:spacing w:line="600" w:lineRule="exact"/>
        <w:ind w:firstLine="420" w:firstLineChars="200"/>
        <w:textAlignment w:val="auto"/>
        <w:rPr>
          <w:rFonts w:hint="eastAsia" w:ascii="黑体" w:hAnsi="黑体" w:eastAsia="黑体" w:cs="黑体"/>
          <w:color w:val="auto"/>
          <w:sz w:val="21"/>
          <w:szCs w:val="21"/>
          <w:highlight w:val="none"/>
        </w:rPr>
      </w:pPr>
    </w:p>
    <w:p w14:paraId="3672AFC8">
      <w:pPr>
        <w:keepNext w:val="0"/>
        <w:keepLines w:val="0"/>
        <w:pageBreakBefore w:val="0"/>
        <w:widowControl w:val="0"/>
        <w:kinsoku/>
        <w:wordWrap w:val="0"/>
        <w:overflowPunct/>
        <w:topLinePunct w:val="0"/>
        <w:autoSpaceDE/>
        <w:autoSpaceDN/>
        <w:bidi w:val="0"/>
        <w:adjustRightInd/>
        <w:snapToGrid/>
        <w:spacing w:line="600" w:lineRule="exact"/>
        <w:ind w:firstLine="420" w:firstLineChars="200"/>
        <w:jc w:val="right"/>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rPr>
        <w:t>承诺人名称（公章）：</w:t>
      </w:r>
      <w:r>
        <w:rPr>
          <w:rFonts w:hint="eastAsia" w:ascii="黑体" w:hAnsi="黑体" w:eastAsia="黑体" w:cs="黑体"/>
          <w:color w:val="auto"/>
          <w:sz w:val="21"/>
          <w:szCs w:val="21"/>
          <w:highlight w:val="none"/>
          <w:lang w:val="en-US" w:eastAsia="zh-CN"/>
        </w:rPr>
        <w:t xml:space="preserve">    </w:t>
      </w:r>
    </w:p>
    <w:p w14:paraId="05ED6938">
      <w:pPr>
        <w:keepNext w:val="0"/>
        <w:keepLines w:val="0"/>
        <w:pageBreakBefore w:val="0"/>
        <w:widowControl w:val="0"/>
        <w:kinsoku/>
        <w:overflowPunct/>
        <w:topLinePunct w:val="0"/>
        <w:autoSpaceDE/>
        <w:autoSpaceDN/>
        <w:bidi w:val="0"/>
        <w:adjustRightInd/>
        <w:snapToGrid/>
        <w:spacing w:line="600" w:lineRule="exact"/>
        <w:ind w:firstLine="420" w:firstLineChars="200"/>
        <w:jc w:val="center"/>
        <w:textAlignment w:val="auto"/>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val="en-US" w:eastAsia="zh-CN"/>
        </w:rPr>
        <w:t xml:space="preserve">                              </w:t>
      </w:r>
      <w:r>
        <w:rPr>
          <w:rFonts w:hint="eastAsia" w:ascii="黑体" w:hAnsi="黑体" w:eastAsia="黑体" w:cs="黑体"/>
          <w:color w:val="auto"/>
          <w:sz w:val="21"/>
          <w:szCs w:val="21"/>
          <w:highlight w:val="none"/>
        </w:rPr>
        <w:t>承诺日期：**年**月**日</w:t>
      </w:r>
    </w:p>
    <w:p w14:paraId="3B707104">
      <w:pPr>
        <w:rPr>
          <w:color w:val="auto"/>
          <w:highlight w:val="none"/>
        </w:rPr>
      </w:pPr>
    </w:p>
    <w:p w14:paraId="41ED0629">
      <w:pPr>
        <w:pStyle w:val="32"/>
        <w:pageBreakBefore/>
        <w:numPr>
          <w:ilvl w:val="0"/>
          <w:numId w:val="64"/>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资格性自查索引表</w:t>
      </w:r>
    </w:p>
    <w:p w14:paraId="708ACE8D">
      <w:pPr>
        <w:spacing w:beforeLines="100" w:afterLines="100"/>
        <w:jc w:val="center"/>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资格性自查索引表</w:t>
      </w:r>
    </w:p>
    <w:tbl>
      <w:tblPr>
        <w:tblStyle w:val="2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4516"/>
        <w:gridCol w:w="1276"/>
        <w:gridCol w:w="2042"/>
      </w:tblGrid>
      <w:tr w14:paraId="42D8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8528" w:type="dxa"/>
            <w:gridSpan w:val="4"/>
            <w:vAlign w:val="center"/>
          </w:tcPr>
          <w:p w14:paraId="26F4939A">
            <w:pPr>
              <w:spacing w:line="360" w:lineRule="auto"/>
              <w:jc w:val="left"/>
              <w:rPr>
                <w:rFonts w:ascii="黑体" w:hAnsi="黑体" w:eastAsia="黑体"/>
                <w:bCs/>
                <w:color w:val="auto"/>
                <w:spacing w:val="-10"/>
                <w:szCs w:val="21"/>
                <w:highlight w:val="none"/>
              </w:rPr>
            </w:pPr>
            <w:r>
              <w:rPr>
                <w:rFonts w:hint="eastAsia" w:ascii="黑体" w:hAnsi="黑体" w:eastAsia="黑体"/>
                <w:b/>
                <w:bCs/>
                <w:color w:val="auto"/>
                <w:szCs w:val="21"/>
                <w:highlight w:val="none"/>
              </w:rPr>
              <w:t>项目名称：</w:t>
            </w:r>
            <w:r>
              <w:rPr>
                <w:rFonts w:hint="eastAsia" w:ascii="黑体" w:hAnsi="黑体" w:eastAsia="黑体"/>
                <w:b/>
                <w:bCs/>
                <w:color w:val="auto"/>
                <w:szCs w:val="21"/>
                <w:highlight w:val="none"/>
                <w:u w:val="single"/>
              </w:rPr>
              <w:t xml:space="preserve">                            </w:t>
            </w:r>
            <w:r>
              <w:rPr>
                <w:rFonts w:hint="eastAsia" w:ascii="黑体" w:hAnsi="黑体" w:eastAsia="黑体"/>
                <w:b/>
                <w:bCs/>
                <w:color w:val="auto"/>
                <w:szCs w:val="21"/>
                <w:highlight w:val="none"/>
              </w:rPr>
              <w:t xml:space="preserve">         </w:t>
            </w:r>
            <w:r>
              <w:rPr>
                <w:rFonts w:hint="eastAsia" w:ascii="黑体" w:hAnsi="黑体" w:eastAsia="黑体"/>
                <w:b/>
                <w:color w:val="auto"/>
                <w:szCs w:val="21"/>
                <w:highlight w:val="none"/>
              </w:rPr>
              <w:t>项目编号：</w:t>
            </w:r>
            <w:r>
              <w:rPr>
                <w:rFonts w:hint="eastAsia" w:ascii="黑体" w:hAnsi="黑体" w:eastAsia="黑体"/>
                <w:b/>
                <w:color w:val="auto"/>
                <w:szCs w:val="21"/>
                <w:highlight w:val="none"/>
                <w:u w:val="single"/>
              </w:rPr>
              <w:t xml:space="preserve">                     </w:t>
            </w:r>
          </w:p>
        </w:tc>
      </w:tr>
      <w:tr w14:paraId="26B8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94" w:type="dxa"/>
            <w:vAlign w:val="center"/>
          </w:tcPr>
          <w:p w14:paraId="758F69F9">
            <w:pPr>
              <w:spacing w:line="360" w:lineRule="auto"/>
              <w:jc w:val="center"/>
              <w:rPr>
                <w:rFonts w:ascii="黑体" w:hAnsi="黑体" w:eastAsia="黑体"/>
                <w:b/>
                <w:bCs/>
                <w:color w:val="auto"/>
                <w:szCs w:val="21"/>
                <w:highlight w:val="none"/>
              </w:rPr>
            </w:pPr>
            <w:r>
              <w:rPr>
                <w:rFonts w:hint="eastAsia" w:ascii="黑体" w:hAnsi="黑体" w:eastAsia="黑体"/>
                <w:b/>
                <w:bCs/>
                <w:color w:val="auto"/>
                <w:szCs w:val="21"/>
                <w:highlight w:val="none"/>
              </w:rPr>
              <w:t>序号</w:t>
            </w:r>
          </w:p>
        </w:tc>
        <w:tc>
          <w:tcPr>
            <w:tcW w:w="4516" w:type="dxa"/>
            <w:tcBorders>
              <w:bottom w:val="single" w:color="auto" w:sz="4" w:space="0"/>
            </w:tcBorders>
            <w:vAlign w:val="center"/>
          </w:tcPr>
          <w:p w14:paraId="55A3C36D">
            <w:pPr>
              <w:spacing w:line="360" w:lineRule="auto"/>
              <w:ind w:left="211" w:hanging="211" w:hangingChars="100"/>
              <w:jc w:val="center"/>
              <w:rPr>
                <w:rFonts w:ascii="黑体" w:hAnsi="黑体" w:eastAsia="黑体"/>
                <w:b/>
                <w:bCs/>
                <w:color w:val="auto"/>
                <w:szCs w:val="21"/>
                <w:highlight w:val="none"/>
              </w:rPr>
            </w:pPr>
            <w:r>
              <w:rPr>
                <w:rFonts w:hint="eastAsia" w:ascii="黑体" w:hAnsi="黑体" w:eastAsia="黑体"/>
                <w:b/>
                <w:bCs/>
                <w:color w:val="auto"/>
                <w:szCs w:val="21"/>
                <w:highlight w:val="none"/>
              </w:rPr>
              <w:t>审查内容</w:t>
            </w:r>
          </w:p>
        </w:tc>
        <w:tc>
          <w:tcPr>
            <w:tcW w:w="1276" w:type="dxa"/>
            <w:vAlign w:val="center"/>
          </w:tcPr>
          <w:p w14:paraId="02638CA3">
            <w:pPr>
              <w:spacing w:line="360" w:lineRule="auto"/>
              <w:jc w:val="center"/>
              <w:rPr>
                <w:rFonts w:ascii="黑体" w:hAnsi="黑体" w:eastAsia="黑体"/>
                <w:b/>
                <w:bCs/>
                <w:color w:val="auto"/>
                <w:szCs w:val="21"/>
                <w:highlight w:val="none"/>
              </w:rPr>
            </w:pPr>
            <w:r>
              <w:rPr>
                <w:rFonts w:hint="eastAsia" w:ascii="黑体" w:hAnsi="黑体" w:eastAsia="黑体"/>
                <w:b/>
                <w:bCs/>
                <w:color w:val="auto"/>
                <w:szCs w:val="21"/>
                <w:highlight w:val="none"/>
              </w:rPr>
              <w:t>自查结论</w:t>
            </w:r>
          </w:p>
        </w:tc>
        <w:tc>
          <w:tcPr>
            <w:tcW w:w="2042" w:type="dxa"/>
            <w:vAlign w:val="center"/>
          </w:tcPr>
          <w:p w14:paraId="05C5F4AC">
            <w:pPr>
              <w:spacing w:line="360" w:lineRule="auto"/>
              <w:jc w:val="center"/>
              <w:rPr>
                <w:rFonts w:ascii="黑体" w:hAnsi="黑体" w:eastAsia="黑体"/>
                <w:b/>
                <w:bCs/>
                <w:color w:val="auto"/>
                <w:spacing w:val="-10"/>
                <w:szCs w:val="21"/>
                <w:highlight w:val="none"/>
              </w:rPr>
            </w:pPr>
            <w:r>
              <w:rPr>
                <w:rFonts w:hint="eastAsia" w:ascii="黑体" w:hAnsi="黑体" w:eastAsia="黑体"/>
                <w:b/>
                <w:color w:val="auto"/>
                <w:szCs w:val="21"/>
                <w:highlight w:val="none"/>
              </w:rPr>
              <w:t>投标文件响应页码</w:t>
            </w:r>
          </w:p>
        </w:tc>
      </w:tr>
      <w:tr w14:paraId="449D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94" w:type="dxa"/>
            <w:vAlign w:val="center"/>
          </w:tcPr>
          <w:p w14:paraId="2091CF51">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1</w:t>
            </w:r>
          </w:p>
        </w:tc>
        <w:tc>
          <w:tcPr>
            <w:tcW w:w="4516" w:type="dxa"/>
            <w:vAlign w:val="center"/>
          </w:tcPr>
          <w:p w14:paraId="01FFA722">
            <w:pPr>
              <w:jc w:val="left"/>
              <w:rPr>
                <w:rFonts w:ascii="黑体" w:hAnsi="黑体" w:eastAsia="黑体"/>
                <w:color w:val="auto"/>
                <w:highlight w:val="none"/>
              </w:rPr>
            </w:pPr>
          </w:p>
        </w:tc>
        <w:tc>
          <w:tcPr>
            <w:tcW w:w="1276" w:type="dxa"/>
            <w:vAlign w:val="center"/>
          </w:tcPr>
          <w:p w14:paraId="0B3A6976">
            <w:pPr>
              <w:spacing w:line="360" w:lineRule="auto"/>
              <w:jc w:val="center"/>
              <w:rPr>
                <w:rFonts w:ascii="黑体" w:hAnsi="黑体" w:eastAsia="黑体"/>
                <w:bCs/>
                <w:color w:val="auto"/>
                <w:szCs w:val="21"/>
                <w:highlight w:val="none"/>
              </w:rPr>
            </w:pPr>
          </w:p>
        </w:tc>
        <w:tc>
          <w:tcPr>
            <w:tcW w:w="2042" w:type="dxa"/>
            <w:vAlign w:val="center"/>
          </w:tcPr>
          <w:p w14:paraId="3EA401AD">
            <w:pPr>
              <w:spacing w:line="360" w:lineRule="auto"/>
              <w:jc w:val="center"/>
              <w:rPr>
                <w:rFonts w:ascii="黑体" w:hAnsi="黑体" w:eastAsia="黑体"/>
                <w:bCs/>
                <w:color w:val="auto"/>
                <w:szCs w:val="21"/>
                <w:highlight w:val="none"/>
              </w:rPr>
            </w:pPr>
          </w:p>
        </w:tc>
      </w:tr>
      <w:tr w14:paraId="6DAD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94" w:type="dxa"/>
            <w:vAlign w:val="center"/>
          </w:tcPr>
          <w:p w14:paraId="664A8453">
            <w:pPr>
              <w:spacing w:line="360" w:lineRule="auto"/>
              <w:jc w:val="center"/>
              <w:rPr>
                <w:rFonts w:hint="default" w:ascii="黑体" w:hAnsi="黑体" w:eastAsia="黑体"/>
                <w:bCs/>
                <w:color w:val="auto"/>
                <w:szCs w:val="21"/>
                <w:highlight w:val="none"/>
                <w:lang w:val="en-US" w:eastAsia="zh-CN"/>
              </w:rPr>
            </w:pPr>
            <w:r>
              <w:rPr>
                <w:rFonts w:hint="eastAsia" w:ascii="黑体" w:hAnsi="黑体" w:eastAsia="黑体"/>
                <w:bCs/>
                <w:color w:val="auto"/>
                <w:szCs w:val="21"/>
                <w:highlight w:val="none"/>
                <w:lang w:val="en-US" w:eastAsia="zh-CN"/>
              </w:rPr>
              <w:t>...</w:t>
            </w:r>
          </w:p>
        </w:tc>
        <w:tc>
          <w:tcPr>
            <w:tcW w:w="4516" w:type="dxa"/>
            <w:vAlign w:val="center"/>
          </w:tcPr>
          <w:p w14:paraId="33488E78">
            <w:pPr>
              <w:jc w:val="left"/>
              <w:rPr>
                <w:rFonts w:ascii="黑体" w:hAnsi="黑体" w:eastAsia="黑体"/>
                <w:color w:val="auto"/>
                <w:highlight w:val="none"/>
              </w:rPr>
            </w:pPr>
          </w:p>
        </w:tc>
        <w:tc>
          <w:tcPr>
            <w:tcW w:w="1276" w:type="dxa"/>
            <w:vAlign w:val="center"/>
          </w:tcPr>
          <w:p w14:paraId="43564CC0">
            <w:pPr>
              <w:spacing w:line="360" w:lineRule="auto"/>
              <w:jc w:val="center"/>
              <w:rPr>
                <w:rFonts w:ascii="黑体" w:hAnsi="黑体" w:eastAsia="黑体"/>
                <w:bCs/>
                <w:color w:val="auto"/>
                <w:szCs w:val="21"/>
                <w:highlight w:val="none"/>
              </w:rPr>
            </w:pPr>
          </w:p>
        </w:tc>
        <w:tc>
          <w:tcPr>
            <w:tcW w:w="2042" w:type="dxa"/>
            <w:vAlign w:val="center"/>
          </w:tcPr>
          <w:p w14:paraId="38ACD97E">
            <w:pPr>
              <w:spacing w:line="360" w:lineRule="auto"/>
              <w:jc w:val="center"/>
              <w:rPr>
                <w:rFonts w:ascii="黑体" w:hAnsi="黑体" w:eastAsia="黑体"/>
                <w:bCs/>
                <w:color w:val="auto"/>
                <w:szCs w:val="21"/>
                <w:highlight w:val="none"/>
              </w:rPr>
            </w:pPr>
          </w:p>
        </w:tc>
      </w:tr>
    </w:tbl>
    <w:p w14:paraId="56FD3280">
      <w:pPr>
        <w:spacing w:beforeLines="50" w:line="360" w:lineRule="auto"/>
        <w:rPr>
          <w:rFonts w:ascii="黑体" w:hAnsi="黑体" w:eastAsia="黑体"/>
          <w:color w:val="auto"/>
          <w:highlight w:val="none"/>
        </w:rPr>
      </w:pPr>
      <w:r>
        <w:rPr>
          <w:rFonts w:hint="eastAsia" w:ascii="黑体" w:hAnsi="黑体" w:eastAsia="黑体"/>
          <w:color w:val="auto"/>
          <w:highlight w:val="none"/>
        </w:rPr>
        <w:t>注明：</w:t>
      </w:r>
    </w:p>
    <w:p w14:paraId="0D8CC41A">
      <w:pPr>
        <w:pStyle w:val="32"/>
        <w:numPr>
          <w:ilvl w:val="0"/>
          <w:numId w:val="74"/>
        </w:numPr>
        <w:spacing w:line="360" w:lineRule="auto"/>
        <w:ind w:firstLineChars="0"/>
        <w:rPr>
          <w:rFonts w:ascii="黑体" w:hAnsi="黑体" w:eastAsia="黑体"/>
          <w:color w:val="auto"/>
          <w:highlight w:val="none"/>
        </w:rPr>
      </w:pPr>
      <w:r>
        <w:rPr>
          <w:rFonts w:hint="eastAsia" w:ascii="黑体" w:hAnsi="黑体" w:eastAsia="黑体"/>
          <w:color w:val="auto"/>
          <w:highlight w:val="none"/>
        </w:rPr>
        <w:t>自查结论处请填写：通过/不通过；</w:t>
      </w:r>
    </w:p>
    <w:p w14:paraId="346D4057">
      <w:pPr>
        <w:pStyle w:val="32"/>
        <w:numPr>
          <w:ilvl w:val="0"/>
          <w:numId w:val="74"/>
        </w:numPr>
        <w:spacing w:line="360" w:lineRule="auto"/>
        <w:ind w:firstLineChars="0"/>
        <w:rPr>
          <w:rFonts w:ascii="黑体" w:hAnsi="黑体" w:eastAsia="黑体"/>
          <w:color w:val="auto"/>
          <w:highlight w:val="none"/>
        </w:rPr>
      </w:pPr>
      <w:r>
        <w:rPr>
          <w:rFonts w:hint="eastAsia" w:ascii="黑体" w:hAnsi="黑体" w:eastAsia="黑体"/>
          <w:color w:val="auto"/>
          <w:szCs w:val="21"/>
          <w:highlight w:val="none"/>
        </w:rPr>
        <w:t>按招标文件第五部分 评标方法、步骤、标准之附表一资格性审查表相对应条款填写</w:t>
      </w:r>
      <w:r>
        <w:rPr>
          <w:rFonts w:hint="eastAsia" w:ascii="黑体" w:hAnsi="黑体" w:eastAsia="黑体"/>
          <w:color w:val="auto"/>
          <w:highlight w:val="none"/>
        </w:rPr>
        <w:t>。</w:t>
      </w:r>
      <w:r>
        <w:rPr>
          <w:rFonts w:hint="eastAsia" w:ascii="黑体" w:hAnsi="黑体" w:eastAsia="黑体"/>
          <w:color w:val="auto"/>
          <w:szCs w:val="21"/>
          <w:highlight w:val="none"/>
        </w:rPr>
        <w:t>（此表格建议放置在商务技术投标文件的开端）</w:t>
      </w:r>
    </w:p>
    <w:p w14:paraId="62527B7A">
      <w:pPr>
        <w:spacing w:line="360" w:lineRule="auto"/>
        <w:rPr>
          <w:rFonts w:ascii="黑体" w:hAnsi="黑体" w:eastAsia="黑体"/>
          <w:color w:val="auto"/>
          <w:highlight w:val="none"/>
        </w:rPr>
      </w:pPr>
    </w:p>
    <w:p w14:paraId="1735BA63">
      <w:pPr>
        <w:spacing w:line="360" w:lineRule="auto"/>
        <w:rPr>
          <w:rFonts w:ascii="黑体" w:hAnsi="黑体" w:eastAsia="黑体"/>
          <w:color w:val="auto"/>
          <w:highlight w:val="none"/>
        </w:rPr>
      </w:pPr>
    </w:p>
    <w:p w14:paraId="13E8879E">
      <w:pPr>
        <w:spacing w:line="360" w:lineRule="auto"/>
        <w:rPr>
          <w:rFonts w:ascii="黑体" w:hAnsi="黑体" w:eastAsia="黑体"/>
          <w:color w:val="auto"/>
          <w:highlight w:val="none"/>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3"/>
        <w:gridCol w:w="3175"/>
      </w:tblGrid>
      <w:tr w14:paraId="0E7FB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60DA08B8">
            <w:pPr>
              <w:overflowPunct w:val="0"/>
              <w:adjustRightInd w:val="0"/>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c>
          <w:tcPr>
            <w:tcW w:w="3175" w:type="dxa"/>
            <w:vAlign w:val="top"/>
          </w:tcPr>
          <w:p w14:paraId="7B9287A5">
            <w:pPr>
              <w:spacing w:line="360" w:lineRule="auto"/>
              <w:rPr>
                <w:rFonts w:ascii="黑体" w:hAnsi="黑体" w:eastAsia="黑体"/>
                <w:color w:val="auto"/>
                <w:szCs w:val="21"/>
                <w:highlight w:val="none"/>
              </w:rPr>
            </w:pPr>
          </w:p>
        </w:tc>
      </w:tr>
      <w:tr w14:paraId="3078F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777F567E">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c>
          <w:tcPr>
            <w:tcW w:w="3175" w:type="dxa"/>
            <w:vAlign w:val="top"/>
          </w:tcPr>
          <w:p w14:paraId="39188F7B">
            <w:pPr>
              <w:spacing w:line="360" w:lineRule="auto"/>
              <w:rPr>
                <w:rFonts w:ascii="黑体" w:hAnsi="黑体" w:eastAsia="黑体"/>
                <w:color w:val="auto"/>
                <w:szCs w:val="21"/>
                <w:highlight w:val="none"/>
              </w:rPr>
            </w:pPr>
          </w:p>
        </w:tc>
      </w:tr>
    </w:tbl>
    <w:p w14:paraId="74C58937">
      <w:pPr>
        <w:rPr>
          <w:rFonts w:ascii="黑体" w:hAnsi="黑体" w:eastAsia="黑体"/>
          <w:color w:val="auto"/>
          <w:highlight w:val="none"/>
        </w:rPr>
      </w:pPr>
    </w:p>
    <w:p w14:paraId="36A57605">
      <w:pPr>
        <w:rPr>
          <w:rFonts w:ascii="黑体" w:hAnsi="黑体" w:eastAsia="黑体"/>
          <w:color w:val="auto"/>
          <w:highlight w:val="none"/>
        </w:rPr>
      </w:pPr>
    </w:p>
    <w:p w14:paraId="15ADB3A2">
      <w:pPr>
        <w:rPr>
          <w:rFonts w:ascii="黑体" w:hAnsi="黑体" w:eastAsia="黑体"/>
          <w:color w:val="auto"/>
          <w:highlight w:val="none"/>
        </w:rPr>
      </w:pPr>
    </w:p>
    <w:p w14:paraId="69EE273F">
      <w:pPr>
        <w:pStyle w:val="32"/>
        <w:pageBreakBefore/>
        <w:numPr>
          <w:ilvl w:val="0"/>
          <w:numId w:val="64"/>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符合性自查索引表</w:t>
      </w:r>
    </w:p>
    <w:p w14:paraId="7F322773">
      <w:pPr>
        <w:spacing w:beforeLines="100" w:afterLines="100"/>
        <w:jc w:val="center"/>
        <w:rPr>
          <w:rFonts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符合性自查索引表</w:t>
      </w:r>
    </w:p>
    <w:tbl>
      <w:tblPr>
        <w:tblStyle w:val="2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518"/>
        <w:gridCol w:w="1276"/>
        <w:gridCol w:w="2042"/>
      </w:tblGrid>
      <w:tr w14:paraId="78BB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8528" w:type="dxa"/>
            <w:gridSpan w:val="4"/>
            <w:vAlign w:val="center"/>
          </w:tcPr>
          <w:p w14:paraId="2490F491">
            <w:pPr>
              <w:spacing w:line="360" w:lineRule="auto"/>
              <w:jc w:val="left"/>
              <w:rPr>
                <w:rFonts w:ascii="黑体" w:hAnsi="黑体" w:eastAsia="黑体"/>
                <w:bCs/>
                <w:color w:val="auto"/>
                <w:spacing w:val="-10"/>
                <w:szCs w:val="21"/>
                <w:highlight w:val="none"/>
              </w:rPr>
            </w:pPr>
            <w:r>
              <w:rPr>
                <w:rFonts w:hint="eastAsia" w:ascii="黑体" w:hAnsi="黑体" w:eastAsia="黑体"/>
                <w:b/>
                <w:bCs/>
                <w:color w:val="auto"/>
                <w:szCs w:val="21"/>
                <w:highlight w:val="none"/>
              </w:rPr>
              <w:t>项目名称：</w:t>
            </w:r>
            <w:r>
              <w:rPr>
                <w:rFonts w:hint="eastAsia" w:ascii="黑体" w:hAnsi="黑体" w:eastAsia="黑体"/>
                <w:b/>
                <w:bCs/>
                <w:color w:val="auto"/>
                <w:szCs w:val="21"/>
                <w:highlight w:val="none"/>
                <w:u w:val="single"/>
              </w:rPr>
              <w:t xml:space="preserve">                               </w:t>
            </w:r>
            <w:r>
              <w:rPr>
                <w:rFonts w:hint="eastAsia" w:ascii="黑体" w:hAnsi="黑体" w:eastAsia="黑体"/>
                <w:b/>
                <w:bCs/>
                <w:color w:val="auto"/>
                <w:szCs w:val="21"/>
                <w:highlight w:val="none"/>
              </w:rPr>
              <w:t xml:space="preserve">     </w:t>
            </w:r>
            <w:r>
              <w:rPr>
                <w:rFonts w:hint="eastAsia" w:ascii="黑体" w:hAnsi="黑体" w:eastAsia="黑体"/>
                <w:b/>
                <w:color w:val="auto"/>
                <w:szCs w:val="21"/>
                <w:highlight w:val="none"/>
              </w:rPr>
              <w:t>项目编号：</w:t>
            </w:r>
            <w:r>
              <w:rPr>
                <w:rFonts w:hint="eastAsia" w:ascii="黑体" w:hAnsi="黑体" w:eastAsia="黑体"/>
                <w:b/>
                <w:color w:val="auto"/>
                <w:szCs w:val="21"/>
                <w:highlight w:val="none"/>
                <w:u w:val="single"/>
              </w:rPr>
              <w:t xml:space="preserve">                     </w:t>
            </w:r>
          </w:p>
        </w:tc>
      </w:tr>
      <w:tr w14:paraId="6944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92" w:type="dxa"/>
            <w:vAlign w:val="center"/>
          </w:tcPr>
          <w:p w14:paraId="683B87FF">
            <w:pPr>
              <w:spacing w:line="360" w:lineRule="auto"/>
              <w:jc w:val="center"/>
              <w:rPr>
                <w:rFonts w:ascii="黑体" w:hAnsi="黑体" w:eastAsia="黑体"/>
                <w:b/>
                <w:bCs/>
                <w:color w:val="auto"/>
                <w:szCs w:val="21"/>
                <w:highlight w:val="none"/>
              </w:rPr>
            </w:pPr>
            <w:r>
              <w:rPr>
                <w:rFonts w:hint="eastAsia" w:ascii="黑体" w:hAnsi="黑体" w:eastAsia="黑体"/>
                <w:b/>
                <w:bCs/>
                <w:color w:val="auto"/>
                <w:szCs w:val="21"/>
                <w:highlight w:val="none"/>
              </w:rPr>
              <w:t>序号</w:t>
            </w:r>
          </w:p>
        </w:tc>
        <w:tc>
          <w:tcPr>
            <w:tcW w:w="4518" w:type="dxa"/>
            <w:tcBorders>
              <w:bottom w:val="single" w:color="auto" w:sz="4" w:space="0"/>
            </w:tcBorders>
            <w:vAlign w:val="center"/>
          </w:tcPr>
          <w:p w14:paraId="1E735024">
            <w:pPr>
              <w:spacing w:line="360" w:lineRule="auto"/>
              <w:ind w:left="211" w:hanging="211" w:hangingChars="100"/>
              <w:jc w:val="center"/>
              <w:rPr>
                <w:rFonts w:ascii="黑体" w:hAnsi="黑体" w:eastAsia="黑体"/>
                <w:b/>
                <w:bCs/>
                <w:color w:val="auto"/>
                <w:szCs w:val="21"/>
                <w:highlight w:val="none"/>
              </w:rPr>
            </w:pPr>
            <w:r>
              <w:rPr>
                <w:rFonts w:hint="eastAsia" w:ascii="黑体" w:hAnsi="黑体" w:eastAsia="黑体"/>
                <w:b/>
                <w:bCs/>
                <w:color w:val="auto"/>
                <w:szCs w:val="21"/>
                <w:highlight w:val="none"/>
              </w:rPr>
              <w:t>审查内容</w:t>
            </w:r>
          </w:p>
        </w:tc>
        <w:tc>
          <w:tcPr>
            <w:tcW w:w="1276" w:type="dxa"/>
            <w:vAlign w:val="center"/>
          </w:tcPr>
          <w:p w14:paraId="102F97AD">
            <w:pPr>
              <w:spacing w:line="360" w:lineRule="auto"/>
              <w:jc w:val="center"/>
              <w:rPr>
                <w:rFonts w:ascii="黑体" w:hAnsi="黑体" w:eastAsia="黑体"/>
                <w:b/>
                <w:bCs/>
                <w:color w:val="auto"/>
                <w:szCs w:val="21"/>
                <w:highlight w:val="none"/>
              </w:rPr>
            </w:pPr>
            <w:r>
              <w:rPr>
                <w:rFonts w:hint="eastAsia" w:ascii="黑体" w:hAnsi="黑体" w:eastAsia="黑体"/>
                <w:b/>
                <w:bCs/>
                <w:color w:val="auto"/>
                <w:szCs w:val="21"/>
                <w:highlight w:val="none"/>
              </w:rPr>
              <w:t>自查结论</w:t>
            </w:r>
          </w:p>
        </w:tc>
        <w:tc>
          <w:tcPr>
            <w:tcW w:w="2042" w:type="dxa"/>
            <w:vAlign w:val="center"/>
          </w:tcPr>
          <w:p w14:paraId="3429323E">
            <w:pPr>
              <w:spacing w:line="360" w:lineRule="auto"/>
              <w:jc w:val="center"/>
              <w:rPr>
                <w:rFonts w:ascii="黑体" w:hAnsi="黑体" w:eastAsia="黑体"/>
                <w:b/>
                <w:bCs/>
                <w:color w:val="auto"/>
                <w:spacing w:val="-10"/>
                <w:szCs w:val="21"/>
                <w:highlight w:val="none"/>
              </w:rPr>
            </w:pPr>
            <w:r>
              <w:rPr>
                <w:rFonts w:hint="eastAsia" w:ascii="黑体" w:hAnsi="黑体" w:eastAsia="黑体"/>
                <w:b/>
                <w:color w:val="auto"/>
                <w:szCs w:val="21"/>
                <w:highlight w:val="none"/>
              </w:rPr>
              <w:t>投标文件响应页码</w:t>
            </w:r>
          </w:p>
        </w:tc>
      </w:tr>
      <w:tr w14:paraId="6A3D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692" w:type="dxa"/>
            <w:vAlign w:val="center"/>
          </w:tcPr>
          <w:p w14:paraId="129B8055">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1</w:t>
            </w:r>
          </w:p>
        </w:tc>
        <w:tc>
          <w:tcPr>
            <w:tcW w:w="4518" w:type="dxa"/>
            <w:vAlign w:val="center"/>
          </w:tcPr>
          <w:p w14:paraId="281B3A93">
            <w:pPr>
              <w:jc w:val="left"/>
              <w:rPr>
                <w:rFonts w:ascii="黑体" w:hAnsi="黑体" w:eastAsia="黑体"/>
                <w:color w:val="auto"/>
                <w:highlight w:val="none"/>
              </w:rPr>
            </w:pPr>
          </w:p>
        </w:tc>
        <w:tc>
          <w:tcPr>
            <w:tcW w:w="1276" w:type="dxa"/>
            <w:vAlign w:val="center"/>
          </w:tcPr>
          <w:p w14:paraId="2946FC19">
            <w:pPr>
              <w:spacing w:line="360" w:lineRule="auto"/>
              <w:jc w:val="center"/>
              <w:rPr>
                <w:rFonts w:ascii="黑体" w:hAnsi="黑体" w:eastAsia="黑体"/>
                <w:bCs/>
                <w:color w:val="auto"/>
                <w:szCs w:val="21"/>
                <w:highlight w:val="none"/>
              </w:rPr>
            </w:pPr>
          </w:p>
        </w:tc>
        <w:tc>
          <w:tcPr>
            <w:tcW w:w="2042" w:type="dxa"/>
            <w:vAlign w:val="center"/>
          </w:tcPr>
          <w:p w14:paraId="7D51AF32">
            <w:pPr>
              <w:spacing w:line="360" w:lineRule="auto"/>
              <w:jc w:val="center"/>
              <w:rPr>
                <w:rFonts w:ascii="黑体" w:hAnsi="黑体" w:eastAsia="黑体"/>
                <w:bCs/>
                <w:color w:val="auto"/>
                <w:szCs w:val="21"/>
                <w:highlight w:val="none"/>
              </w:rPr>
            </w:pPr>
          </w:p>
        </w:tc>
      </w:tr>
      <w:tr w14:paraId="1863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92" w:type="dxa"/>
            <w:vAlign w:val="center"/>
          </w:tcPr>
          <w:p w14:paraId="4ABF9955">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2</w:t>
            </w:r>
          </w:p>
        </w:tc>
        <w:tc>
          <w:tcPr>
            <w:tcW w:w="4518" w:type="dxa"/>
            <w:vAlign w:val="center"/>
          </w:tcPr>
          <w:p w14:paraId="12072AC0">
            <w:pPr>
              <w:spacing w:line="360" w:lineRule="auto"/>
              <w:jc w:val="left"/>
              <w:rPr>
                <w:rFonts w:ascii="黑体" w:hAnsi="黑体" w:eastAsia="黑体"/>
                <w:b/>
                <w:bCs/>
                <w:color w:val="auto"/>
                <w:szCs w:val="21"/>
                <w:highlight w:val="none"/>
              </w:rPr>
            </w:pPr>
          </w:p>
        </w:tc>
        <w:tc>
          <w:tcPr>
            <w:tcW w:w="1276" w:type="dxa"/>
            <w:vAlign w:val="center"/>
          </w:tcPr>
          <w:p w14:paraId="14F3DF65">
            <w:pPr>
              <w:spacing w:line="360" w:lineRule="auto"/>
              <w:jc w:val="center"/>
              <w:rPr>
                <w:rFonts w:ascii="黑体" w:hAnsi="黑体" w:eastAsia="黑体"/>
                <w:b/>
                <w:bCs/>
                <w:color w:val="auto"/>
                <w:szCs w:val="21"/>
                <w:highlight w:val="none"/>
              </w:rPr>
            </w:pPr>
          </w:p>
        </w:tc>
        <w:tc>
          <w:tcPr>
            <w:tcW w:w="2042" w:type="dxa"/>
            <w:vAlign w:val="center"/>
          </w:tcPr>
          <w:p w14:paraId="339554BA">
            <w:pPr>
              <w:spacing w:line="360" w:lineRule="auto"/>
              <w:jc w:val="center"/>
              <w:rPr>
                <w:rFonts w:ascii="黑体" w:hAnsi="黑体" w:eastAsia="黑体"/>
                <w:b/>
                <w:bCs/>
                <w:color w:val="auto"/>
                <w:szCs w:val="21"/>
                <w:highlight w:val="none"/>
              </w:rPr>
            </w:pPr>
          </w:p>
        </w:tc>
      </w:tr>
      <w:tr w14:paraId="0E6C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92" w:type="dxa"/>
            <w:vAlign w:val="center"/>
          </w:tcPr>
          <w:p w14:paraId="54CCACAD">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3</w:t>
            </w:r>
          </w:p>
        </w:tc>
        <w:tc>
          <w:tcPr>
            <w:tcW w:w="4518" w:type="dxa"/>
            <w:vAlign w:val="center"/>
          </w:tcPr>
          <w:p w14:paraId="581068E0">
            <w:pPr>
              <w:spacing w:line="360" w:lineRule="auto"/>
              <w:jc w:val="left"/>
              <w:rPr>
                <w:rFonts w:ascii="黑体" w:hAnsi="黑体" w:eastAsia="黑体"/>
                <w:b/>
                <w:bCs/>
                <w:color w:val="auto"/>
                <w:szCs w:val="21"/>
                <w:highlight w:val="none"/>
              </w:rPr>
            </w:pPr>
          </w:p>
        </w:tc>
        <w:tc>
          <w:tcPr>
            <w:tcW w:w="1276" w:type="dxa"/>
            <w:vAlign w:val="center"/>
          </w:tcPr>
          <w:p w14:paraId="509DAAD8">
            <w:pPr>
              <w:spacing w:line="360" w:lineRule="auto"/>
              <w:jc w:val="center"/>
              <w:rPr>
                <w:rFonts w:ascii="黑体" w:hAnsi="黑体" w:eastAsia="黑体"/>
                <w:b/>
                <w:bCs/>
                <w:color w:val="auto"/>
                <w:szCs w:val="21"/>
                <w:highlight w:val="none"/>
              </w:rPr>
            </w:pPr>
          </w:p>
        </w:tc>
        <w:tc>
          <w:tcPr>
            <w:tcW w:w="2042" w:type="dxa"/>
            <w:vAlign w:val="center"/>
          </w:tcPr>
          <w:p w14:paraId="115678F6">
            <w:pPr>
              <w:spacing w:line="360" w:lineRule="auto"/>
              <w:jc w:val="center"/>
              <w:rPr>
                <w:rFonts w:ascii="黑体" w:hAnsi="黑体" w:eastAsia="黑体"/>
                <w:b/>
                <w:bCs/>
                <w:color w:val="auto"/>
                <w:szCs w:val="21"/>
                <w:highlight w:val="none"/>
              </w:rPr>
            </w:pPr>
          </w:p>
        </w:tc>
      </w:tr>
      <w:tr w14:paraId="3808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692" w:type="dxa"/>
            <w:vAlign w:val="center"/>
          </w:tcPr>
          <w:p w14:paraId="1031ED4A">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4</w:t>
            </w:r>
          </w:p>
        </w:tc>
        <w:tc>
          <w:tcPr>
            <w:tcW w:w="4518" w:type="dxa"/>
            <w:vAlign w:val="center"/>
          </w:tcPr>
          <w:p w14:paraId="1E2EE5C2">
            <w:pPr>
              <w:spacing w:line="360" w:lineRule="auto"/>
              <w:jc w:val="left"/>
              <w:rPr>
                <w:rFonts w:ascii="黑体" w:hAnsi="黑体" w:eastAsia="黑体"/>
                <w:b/>
                <w:bCs/>
                <w:color w:val="auto"/>
                <w:szCs w:val="21"/>
                <w:highlight w:val="none"/>
              </w:rPr>
            </w:pPr>
          </w:p>
        </w:tc>
        <w:tc>
          <w:tcPr>
            <w:tcW w:w="1276" w:type="dxa"/>
            <w:vAlign w:val="center"/>
          </w:tcPr>
          <w:p w14:paraId="31591F2B">
            <w:pPr>
              <w:spacing w:line="360" w:lineRule="auto"/>
              <w:jc w:val="center"/>
              <w:rPr>
                <w:rFonts w:ascii="黑体" w:hAnsi="黑体" w:eastAsia="黑体"/>
                <w:b/>
                <w:bCs/>
                <w:color w:val="auto"/>
                <w:szCs w:val="21"/>
                <w:highlight w:val="none"/>
              </w:rPr>
            </w:pPr>
          </w:p>
        </w:tc>
        <w:tc>
          <w:tcPr>
            <w:tcW w:w="2042" w:type="dxa"/>
            <w:vAlign w:val="center"/>
          </w:tcPr>
          <w:p w14:paraId="45534CDB">
            <w:pPr>
              <w:spacing w:line="360" w:lineRule="auto"/>
              <w:jc w:val="center"/>
              <w:rPr>
                <w:rFonts w:ascii="黑体" w:hAnsi="黑体" w:eastAsia="黑体"/>
                <w:b/>
                <w:bCs/>
                <w:color w:val="auto"/>
                <w:szCs w:val="21"/>
                <w:highlight w:val="none"/>
              </w:rPr>
            </w:pPr>
          </w:p>
        </w:tc>
      </w:tr>
      <w:tr w14:paraId="16F0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92" w:type="dxa"/>
            <w:vAlign w:val="center"/>
          </w:tcPr>
          <w:p w14:paraId="4EE7D331">
            <w:pPr>
              <w:spacing w:line="360" w:lineRule="auto"/>
              <w:jc w:val="center"/>
              <w:rPr>
                <w:rFonts w:ascii="黑体" w:hAnsi="黑体" w:eastAsia="黑体"/>
                <w:bCs/>
                <w:color w:val="auto"/>
                <w:szCs w:val="21"/>
                <w:highlight w:val="none"/>
              </w:rPr>
            </w:pPr>
            <w:r>
              <w:rPr>
                <w:rFonts w:hint="eastAsia" w:ascii="黑体" w:hAnsi="黑体" w:eastAsia="黑体"/>
                <w:bCs/>
                <w:color w:val="auto"/>
                <w:szCs w:val="21"/>
                <w:highlight w:val="none"/>
              </w:rPr>
              <w:t>5</w:t>
            </w:r>
          </w:p>
        </w:tc>
        <w:tc>
          <w:tcPr>
            <w:tcW w:w="4518" w:type="dxa"/>
            <w:vAlign w:val="center"/>
          </w:tcPr>
          <w:p w14:paraId="2A427B41">
            <w:pPr>
              <w:spacing w:line="360" w:lineRule="auto"/>
              <w:jc w:val="left"/>
              <w:rPr>
                <w:rFonts w:ascii="黑体" w:hAnsi="黑体" w:eastAsia="黑体"/>
                <w:color w:val="auto"/>
                <w:szCs w:val="21"/>
                <w:highlight w:val="none"/>
              </w:rPr>
            </w:pPr>
          </w:p>
        </w:tc>
        <w:tc>
          <w:tcPr>
            <w:tcW w:w="1276" w:type="dxa"/>
            <w:vAlign w:val="center"/>
          </w:tcPr>
          <w:p w14:paraId="1CC64181">
            <w:pPr>
              <w:spacing w:line="360" w:lineRule="auto"/>
              <w:jc w:val="center"/>
              <w:rPr>
                <w:rFonts w:ascii="黑体" w:hAnsi="黑体" w:eastAsia="黑体"/>
                <w:b/>
                <w:bCs/>
                <w:color w:val="auto"/>
                <w:szCs w:val="21"/>
                <w:highlight w:val="none"/>
              </w:rPr>
            </w:pPr>
          </w:p>
        </w:tc>
        <w:tc>
          <w:tcPr>
            <w:tcW w:w="2042" w:type="dxa"/>
            <w:vAlign w:val="center"/>
          </w:tcPr>
          <w:p w14:paraId="112F51B9">
            <w:pPr>
              <w:spacing w:line="360" w:lineRule="auto"/>
              <w:jc w:val="center"/>
              <w:rPr>
                <w:rFonts w:ascii="黑体" w:hAnsi="黑体" w:eastAsia="黑体"/>
                <w:b/>
                <w:bCs/>
                <w:color w:val="auto"/>
                <w:szCs w:val="21"/>
                <w:highlight w:val="none"/>
              </w:rPr>
            </w:pPr>
          </w:p>
        </w:tc>
      </w:tr>
    </w:tbl>
    <w:p w14:paraId="69667729">
      <w:pPr>
        <w:spacing w:beforeLines="50" w:line="360" w:lineRule="auto"/>
        <w:rPr>
          <w:rFonts w:ascii="黑体" w:hAnsi="黑体" w:eastAsia="黑体"/>
          <w:color w:val="auto"/>
          <w:highlight w:val="none"/>
        </w:rPr>
      </w:pPr>
      <w:r>
        <w:rPr>
          <w:rFonts w:hint="eastAsia" w:ascii="黑体" w:hAnsi="黑体" w:eastAsia="黑体"/>
          <w:color w:val="auto"/>
          <w:highlight w:val="none"/>
        </w:rPr>
        <w:t>注明：</w:t>
      </w:r>
    </w:p>
    <w:p w14:paraId="7CC9DE1D">
      <w:pPr>
        <w:pStyle w:val="32"/>
        <w:numPr>
          <w:ilvl w:val="0"/>
          <w:numId w:val="75"/>
        </w:numPr>
        <w:spacing w:line="360" w:lineRule="auto"/>
        <w:ind w:firstLineChars="0"/>
        <w:rPr>
          <w:rFonts w:ascii="黑体" w:hAnsi="黑体" w:eastAsia="黑体"/>
          <w:color w:val="auto"/>
          <w:highlight w:val="none"/>
        </w:rPr>
      </w:pPr>
      <w:r>
        <w:rPr>
          <w:rFonts w:hint="eastAsia" w:ascii="黑体" w:hAnsi="黑体" w:eastAsia="黑体"/>
          <w:color w:val="auto"/>
          <w:highlight w:val="none"/>
        </w:rPr>
        <w:t>自查结论处请填写：通过/不通过；</w:t>
      </w:r>
    </w:p>
    <w:p w14:paraId="7DE82911">
      <w:pPr>
        <w:pStyle w:val="32"/>
        <w:numPr>
          <w:ilvl w:val="0"/>
          <w:numId w:val="75"/>
        </w:numPr>
        <w:spacing w:line="360" w:lineRule="auto"/>
        <w:ind w:firstLineChars="0"/>
        <w:rPr>
          <w:rFonts w:ascii="黑体" w:hAnsi="黑体" w:eastAsia="黑体"/>
          <w:color w:val="auto"/>
          <w:highlight w:val="none"/>
        </w:rPr>
      </w:pPr>
      <w:r>
        <w:rPr>
          <w:rFonts w:hint="eastAsia" w:ascii="黑体" w:hAnsi="黑体" w:eastAsia="黑体"/>
          <w:color w:val="auto"/>
          <w:szCs w:val="21"/>
          <w:highlight w:val="none"/>
        </w:rPr>
        <w:t>按招标文件第五部分 评标方法、步骤、标准之附表二符合性审查表相对应条款填写</w:t>
      </w:r>
      <w:r>
        <w:rPr>
          <w:rFonts w:hint="eastAsia" w:ascii="黑体" w:hAnsi="黑体" w:eastAsia="黑体"/>
          <w:color w:val="auto"/>
          <w:highlight w:val="none"/>
        </w:rPr>
        <w:t>。</w:t>
      </w:r>
      <w:r>
        <w:rPr>
          <w:rFonts w:hint="eastAsia" w:ascii="黑体" w:hAnsi="黑体" w:eastAsia="黑体"/>
          <w:color w:val="auto"/>
          <w:szCs w:val="21"/>
          <w:highlight w:val="none"/>
        </w:rPr>
        <w:t>（此表格建议放置在商务技术投标文件的开端）</w:t>
      </w:r>
    </w:p>
    <w:p w14:paraId="4528AA37">
      <w:pPr>
        <w:spacing w:line="360" w:lineRule="auto"/>
        <w:rPr>
          <w:rFonts w:ascii="黑体" w:hAnsi="黑体" w:eastAsia="黑体"/>
          <w:color w:val="auto"/>
          <w:highlight w:val="none"/>
        </w:rPr>
      </w:pPr>
    </w:p>
    <w:p w14:paraId="22D67FA3">
      <w:pPr>
        <w:spacing w:line="360" w:lineRule="auto"/>
        <w:rPr>
          <w:rFonts w:ascii="黑体" w:hAnsi="黑体" w:eastAsia="黑体"/>
          <w:color w:val="auto"/>
          <w:highlight w:val="none"/>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3"/>
        <w:gridCol w:w="3175"/>
      </w:tblGrid>
      <w:tr w14:paraId="10719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771BC69B">
            <w:pPr>
              <w:overflowPunct w:val="0"/>
              <w:adjustRightInd w:val="0"/>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c>
          <w:tcPr>
            <w:tcW w:w="3175" w:type="dxa"/>
            <w:vAlign w:val="top"/>
          </w:tcPr>
          <w:p w14:paraId="20F81BFE">
            <w:pPr>
              <w:spacing w:line="360" w:lineRule="auto"/>
              <w:rPr>
                <w:rFonts w:ascii="黑体" w:hAnsi="黑体" w:eastAsia="黑体"/>
                <w:color w:val="auto"/>
                <w:szCs w:val="21"/>
                <w:highlight w:val="none"/>
              </w:rPr>
            </w:pPr>
          </w:p>
        </w:tc>
      </w:tr>
      <w:tr w14:paraId="2D1C9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452F4CBF">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c>
          <w:tcPr>
            <w:tcW w:w="3175" w:type="dxa"/>
            <w:vAlign w:val="top"/>
          </w:tcPr>
          <w:p w14:paraId="28DA1352">
            <w:pPr>
              <w:spacing w:line="360" w:lineRule="auto"/>
              <w:rPr>
                <w:rFonts w:ascii="黑体" w:hAnsi="黑体" w:eastAsia="黑体"/>
                <w:color w:val="auto"/>
                <w:szCs w:val="21"/>
                <w:highlight w:val="none"/>
              </w:rPr>
            </w:pPr>
          </w:p>
        </w:tc>
      </w:tr>
    </w:tbl>
    <w:p w14:paraId="6CEBA945">
      <w:pPr>
        <w:pStyle w:val="32"/>
        <w:pageBreakBefore/>
        <w:numPr>
          <w:ilvl w:val="0"/>
          <w:numId w:val="64"/>
        </w:numPr>
        <w:spacing w:line="360" w:lineRule="auto"/>
        <w:ind w:firstLineChars="0"/>
        <w:rPr>
          <w:rFonts w:ascii="黑体" w:hAnsi="黑体" w:eastAsia="黑体"/>
          <w:b/>
          <w:color w:val="auto"/>
          <w:szCs w:val="21"/>
          <w:highlight w:val="none"/>
        </w:rPr>
      </w:pPr>
      <w:r>
        <w:rPr>
          <w:rFonts w:hint="eastAsia" w:ascii="黑体" w:hAnsi="黑体" w:eastAsia="黑体"/>
          <w:b/>
          <w:color w:val="auto"/>
          <w:szCs w:val="21"/>
          <w:highlight w:val="none"/>
        </w:rPr>
        <w:t>商务技术评审索引表</w:t>
      </w:r>
    </w:p>
    <w:p w14:paraId="42D602AE">
      <w:pPr>
        <w:spacing w:beforeLines="100" w:afterLines="100"/>
        <w:jc w:val="center"/>
        <w:rPr>
          <w:rFonts w:hint="eastAsia" w:ascii="黑体" w:hAnsi="黑体" w:eastAsia="黑体"/>
          <w:b/>
          <w:color w:val="auto"/>
          <w:spacing w:val="20"/>
          <w:sz w:val="28"/>
          <w:szCs w:val="28"/>
          <w:highlight w:val="none"/>
        </w:rPr>
      </w:pPr>
      <w:r>
        <w:rPr>
          <w:rFonts w:hint="eastAsia" w:ascii="黑体" w:hAnsi="黑体" w:eastAsia="黑体"/>
          <w:b/>
          <w:color w:val="auto"/>
          <w:spacing w:val="20"/>
          <w:sz w:val="28"/>
          <w:szCs w:val="28"/>
          <w:highlight w:val="none"/>
        </w:rPr>
        <w:t>商务技术评审索引表</w:t>
      </w:r>
    </w:p>
    <w:tbl>
      <w:tblPr>
        <w:tblStyle w:val="20"/>
        <w:tblW w:w="84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8"/>
        <w:gridCol w:w="1909"/>
        <w:gridCol w:w="3573"/>
        <w:gridCol w:w="2251"/>
      </w:tblGrid>
      <w:tr w14:paraId="1B373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71CB82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b/>
                <w:bCs/>
                <w:i w:val="0"/>
                <w:iCs w:val="0"/>
                <w:color w:val="auto"/>
                <w:kern w:val="0"/>
                <w:sz w:val="21"/>
                <w:szCs w:val="21"/>
                <w:highlight w:val="none"/>
                <w:u w:val="none"/>
                <w:lang w:val="en-US" w:eastAsia="zh-CN" w:bidi="ar"/>
              </w:rPr>
              <w:t>序号</w:t>
            </w:r>
          </w:p>
        </w:tc>
        <w:tc>
          <w:tcPr>
            <w:tcW w:w="1909" w:type="dxa"/>
            <w:tcBorders>
              <w:top w:val="single" w:color="000000" w:sz="4" w:space="0"/>
              <w:left w:val="single" w:color="000000" w:sz="4" w:space="0"/>
              <w:bottom w:val="single" w:color="auto" w:sz="4" w:space="0"/>
              <w:right w:val="single" w:color="000000" w:sz="4" w:space="0"/>
            </w:tcBorders>
            <w:noWrap w:val="0"/>
            <w:vAlign w:val="center"/>
          </w:tcPr>
          <w:p w14:paraId="39779C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评审项目</w:t>
            </w:r>
          </w:p>
        </w:tc>
        <w:tc>
          <w:tcPr>
            <w:tcW w:w="3573" w:type="dxa"/>
            <w:tcBorders>
              <w:top w:val="single" w:color="000000" w:sz="4" w:space="0"/>
              <w:left w:val="single" w:color="000000" w:sz="4" w:space="0"/>
              <w:bottom w:val="single" w:color="000000" w:sz="4" w:space="0"/>
              <w:right w:val="single" w:color="000000" w:sz="4" w:space="0"/>
            </w:tcBorders>
            <w:noWrap w:val="0"/>
            <w:vAlign w:val="center"/>
          </w:tcPr>
          <w:p w14:paraId="0E6E45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评审内容</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4D96094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b/>
                <w:bCs/>
                <w:color w:val="auto"/>
                <w:kern w:val="0"/>
                <w:sz w:val="21"/>
                <w:szCs w:val="21"/>
                <w:highlight w:val="none"/>
                <w:lang w:bidi="ar"/>
              </w:rPr>
              <w:t>投标文件对应页码</w:t>
            </w:r>
          </w:p>
        </w:tc>
      </w:tr>
      <w:tr w14:paraId="719C1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24BB1A6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909" w:type="dxa"/>
            <w:vMerge w:val="restart"/>
            <w:tcBorders>
              <w:top w:val="single" w:color="auto" w:sz="4" w:space="0"/>
              <w:left w:val="single" w:color="auto" w:sz="4" w:space="0"/>
              <w:bottom w:val="single" w:color="auto" w:sz="4" w:space="0"/>
              <w:right w:val="single" w:color="auto" w:sz="4" w:space="0"/>
            </w:tcBorders>
            <w:noWrap w:val="0"/>
            <w:vAlign w:val="center"/>
          </w:tcPr>
          <w:p w14:paraId="0A7025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经营状况指标</w:t>
            </w: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137E5A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资本充足率</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421CA57">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4E9D8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71C4FE4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5CD95A45">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3AB684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不良贷款率</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353BC4D1">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0F01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50765A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621D9778">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6FD633A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在莞存贷比</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3B68C8A">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1A516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0B9CA4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28203860">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1AC7A9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贷款增额</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2172A9E">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7CCA3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76C4318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556B91B4">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60AF7F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贷款增速</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7E205BF5">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032C9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0BE5C62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6</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2A21F61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1983E6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存款增额</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3EAD9968">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053D1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562126B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7</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7A5EE6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62D969F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存款增速</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E3615E1">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7E7D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0576690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8</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1B421DB6">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17D860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人民银行东莞地区银行业机构综合评级</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591DE41C">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1DF6C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285A6F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9</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2083CFC5">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0001DD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广东金融监管局银行业科技支行建设评级</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53666807">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07E1B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3E37E3B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10</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7A07650C">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2AB1F38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内部控制水平</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37801D65">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38D63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47F269F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11</w:t>
            </w:r>
          </w:p>
        </w:tc>
        <w:tc>
          <w:tcPr>
            <w:tcW w:w="1909" w:type="dxa"/>
            <w:tcBorders>
              <w:top w:val="single" w:color="auto" w:sz="4" w:space="0"/>
              <w:left w:val="single" w:color="auto" w:sz="4" w:space="0"/>
              <w:bottom w:val="single" w:color="auto" w:sz="4" w:space="0"/>
              <w:right w:val="single" w:color="auto" w:sz="4" w:space="0"/>
            </w:tcBorders>
            <w:noWrap w:val="0"/>
            <w:vAlign w:val="center"/>
          </w:tcPr>
          <w:p w14:paraId="66ABC2FF">
            <w:pPr>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rPr>
              <w:t>利率水平指标</w:t>
            </w: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334508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定期存款（大额存单）利率水平</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9D10E40">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3013A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D33D3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12</w:t>
            </w:r>
          </w:p>
        </w:tc>
        <w:tc>
          <w:tcPr>
            <w:tcW w:w="190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C8AE22C">
            <w:pPr>
              <w:jc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rPr>
              <w:t>对地方贡献指标</w:t>
            </w:r>
          </w:p>
        </w:tc>
        <w:tc>
          <w:tcPr>
            <w:tcW w:w="3573" w:type="dxa"/>
            <w:tcBorders>
              <w:top w:val="single" w:color="000000" w:sz="4" w:space="0"/>
              <w:left w:val="single" w:color="auto" w:sz="4" w:space="0"/>
              <w:bottom w:val="nil"/>
              <w:right w:val="single" w:color="000000" w:sz="4" w:space="0"/>
            </w:tcBorders>
            <w:shd w:val="clear" w:color="auto" w:fill="auto"/>
            <w:noWrap w:val="0"/>
            <w:vAlign w:val="center"/>
          </w:tcPr>
          <w:p w14:paraId="6E271AA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松山湖高新区企业贷款额</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AB62A">
            <w:pPr>
              <w:keepNext w:val="0"/>
              <w:keepLines w:val="0"/>
              <w:widowControl/>
              <w:suppressLineNumbers w:val="0"/>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r>
      <w:tr w14:paraId="13F28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E725B9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13</w:t>
            </w:r>
          </w:p>
        </w:tc>
        <w:tc>
          <w:tcPr>
            <w:tcW w:w="190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941938C">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nil"/>
              <w:right w:val="single" w:color="000000" w:sz="4" w:space="0"/>
            </w:tcBorders>
            <w:shd w:val="clear" w:color="auto" w:fill="auto"/>
            <w:noWrap w:val="0"/>
            <w:vAlign w:val="center"/>
          </w:tcPr>
          <w:p w14:paraId="37B5624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对园区中小企业支持</w:t>
            </w:r>
          </w:p>
        </w:tc>
        <w:tc>
          <w:tcPr>
            <w:tcW w:w="225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76D7C">
            <w:pPr>
              <w:keepNext w:val="0"/>
              <w:keepLines w:val="0"/>
              <w:widowControl/>
              <w:suppressLineNumbers w:val="0"/>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r>
      <w:tr w14:paraId="6FAC3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auto" w:sz="4" w:space="0"/>
              <w:right w:val="single" w:color="auto" w:sz="4" w:space="0"/>
            </w:tcBorders>
            <w:shd w:val="clear" w:color="auto" w:fill="auto"/>
            <w:noWrap w:val="0"/>
            <w:vAlign w:val="center"/>
          </w:tcPr>
          <w:p w14:paraId="080A58A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14</w:t>
            </w:r>
          </w:p>
        </w:tc>
        <w:tc>
          <w:tcPr>
            <w:tcW w:w="1909"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DCFB731">
            <w:pPr>
              <w:jc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auto" w:sz="4" w:space="0"/>
              <w:right w:val="single" w:color="000000" w:sz="4" w:space="0"/>
            </w:tcBorders>
            <w:shd w:val="clear" w:color="auto" w:fill="auto"/>
            <w:noWrap w:val="0"/>
            <w:vAlign w:val="center"/>
          </w:tcPr>
          <w:p w14:paraId="680FBD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对园区纾困企业支持</w:t>
            </w:r>
          </w:p>
        </w:tc>
        <w:tc>
          <w:tcPr>
            <w:tcW w:w="2251"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4384E1AA">
            <w:pPr>
              <w:keepNext w:val="0"/>
              <w:keepLines w:val="0"/>
              <w:widowControl/>
              <w:suppressLineNumbers w:val="0"/>
              <w:jc w:val="left"/>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p>
        </w:tc>
      </w:tr>
      <w:tr w14:paraId="277A3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auto" w:sz="4" w:space="0"/>
              <w:left w:val="single" w:color="auto" w:sz="4" w:space="0"/>
              <w:bottom w:val="single" w:color="auto" w:sz="4" w:space="0"/>
              <w:right w:val="single" w:color="auto" w:sz="4" w:space="0"/>
            </w:tcBorders>
            <w:noWrap w:val="0"/>
            <w:vAlign w:val="center"/>
          </w:tcPr>
          <w:p w14:paraId="4FA041A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cs="Times New Roman"/>
                <w:i w:val="0"/>
                <w:iCs w:val="0"/>
                <w:color w:val="auto"/>
                <w:kern w:val="0"/>
                <w:sz w:val="21"/>
                <w:szCs w:val="21"/>
                <w:highlight w:val="none"/>
                <w:u w:val="none"/>
                <w:lang w:val="en-US" w:eastAsia="zh-CN" w:bidi="ar"/>
              </w:rPr>
              <w:t>5</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378856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auto" w:sz="4" w:space="0"/>
              <w:left w:val="single" w:color="auto" w:sz="4" w:space="0"/>
              <w:bottom w:val="single" w:color="auto" w:sz="4" w:space="0"/>
              <w:right w:val="single" w:color="auto" w:sz="4" w:space="0"/>
            </w:tcBorders>
            <w:noWrap w:val="0"/>
            <w:vAlign w:val="center"/>
          </w:tcPr>
          <w:p w14:paraId="688938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创新金融产品</w:t>
            </w:r>
          </w:p>
        </w:tc>
        <w:tc>
          <w:tcPr>
            <w:tcW w:w="2251" w:type="dxa"/>
            <w:tcBorders>
              <w:top w:val="single" w:color="auto" w:sz="4" w:space="0"/>
              <w:left w:val="single" w:color="auto" w:sz="4" w:space="0"/>
              <w:bottom w:val="single" w:color="auto" w:sz="4" w:space="0"/>
              <w:right w:val="single" w:color="auto" w:sz="4" w:space="0"/>
            </w:tcBorders>
            <w:noWrap w:val="0"/>
            <w:vAlign w:val="center"/>
          </w:tcPr>
          <w:p w14:paraId="43BE965C">
            <w:pPr>
              <w:keepNext w:val="0"/>
              <w:keepLines w:val="0"/>
              <w:widowControl/>
              <w:suppressLineNumbers w:val="0"/>
              <w:jc w:val="both"/>
              <w:textAlignment w:val="center"/>
              <w:rPr>
                <w:rFonts w:hint="default" w:ascii="Times New Roman" w:hAnsi="Times New Roman" w:eastAsia="宋体" w:cs="Times New Roman"/>
                <w:i w:val="0"/>
                <w:iCs w:val="0"/>
                <w:color w:val="auto"/>
                <w:sz w:val="21"/>
                <w:szCs w:val="21"/>
                <w:highlight w:val="none"/>
                <w:u w:val="none"/>
              </w:rPr>
            </w:pPr>
          </w:p>
        </w:tc>
      </w:tr>
      <w:tr w14:paraId="3654F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3DB00002">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16</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668EDE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3CD0C7E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与区属国企合作规模</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209FA69D">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4FB36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722EBC20">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17</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292F16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398AC9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园区营业网点的数量</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2EF3574">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3CB0D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auto" w:sz="4" w:space="0"/>
            </w:tcBorders>
            <w:noWrap w:val="0"/>
            <w:vAlign w:val="center"/>
          </w:tcPr>
          <w:p w14:paraId="05B4456D">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18</w:t>
            </w:r>
          </w:p>
        </w:tc>
        <w:tc>
          <w:tcPr>
            <w:tcW w:w="1909" w:type="dxa"/>
            <w:vMerge w:val="continue"/>
            <w:tcBorders>
              <w:top w:val="single" w:color="auto" w:sz="4" w:space="0"/>
              <w:left w:val="single" w:color="auto" w:sz="4" w:space="0"/>
              <w:bottom w:val="single" w:color="auto" w:sz="4" w:space="0"/>
              <w:right w:val="single" w:color="auto" w:sz="4" w:space="0"/>
            </w:tcBorders>
            <w:noWrap w:val="0"/>
            <w:vAlign w:val="center"/>
          </w:tcPr>
          <w:p w14:paraId="2230D79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auto" w:sz="4" w:space="0"/>
              <w:bottom w:val="single" w:color="000000" w:sz="4" w:space="0"/>
              <w:right w:val="single" w:color="000000" w:sz="4" w:space="0"/>
            </w:tcBorders>
            <w:noWrap w:val="0"/>
            <w:vAlign w:val="center"/>
          </w:tcPr>
          <w:p w14:paraId="2404F1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对园区税收贡献情况</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5B99D04D">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3CDC4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1F1EB6A6">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19</w:t>
            </w:r>
          </w:p>
        </w:tc>
        <w:tc>
          <w:tcPr>
            <w:tcW w:w="1909" w:type="dxa"/>
            <w:vMerge w:val="restart"/>
            <w:tcBorders>
              <w:top w:val="single" w:color="auto" w:sz="4" w:space="0"/>
              <w:left w:val="single" w:color="000000" w:sz="4" w:space="0"/>
              <w:bottom w:val="single" w:color="auto" w:sz="4" w:space="0"/>
              <w:right w:val="single" w:color="000000" w:sz="4" w:space="0"/>
            </w:tcBorders>
            <w:noWrap w:val="0"/>
            <w:vAlign w:val="center"/>
          </w:tcPr>
          <w:p w14:paraId="6C1F82E2">
            <w:pPr>
              <w:keepNext w:val="0"/>
              <w:keepLines w:val="0"/>
              <w:widowControl/>
              <w:suppressLineNumbers w:val="0"/>
              <w:jc w:val="center"/>
              <w:textAlignment w:val="center"/>
              <w:rPr>
                <w:rFonts w:hint="eastAsia" w:ascii="Times New Roman" w:hAnsi="Times New Roman" w:eastAsia="宋体" w:cs="Times New Roman"/>
                <w:i w:val="0"/>
                <w:iCs w:val="0"/>
                <w:color w:val="auto"/>
                <w:sz w:val="21"/>
                <w:szCs w:val="21"/>
                <w:highlight w:val="none"/>
                <w:u w:val="none"/>
                <w:lang w:eastAsia="zh-CN"/>
              </w:rPr>
            </w:pPr>
            <w:r>
              <w:rPr>
                <w:rFonts w:hint="eastAsia" w:cs="Times New Roman"/>
                <w:i w:val="0"/>
                <w:iCs w:val="0"/>
                <w:color w:val="auto"/>
                <w:sz w:val="21"/>
                <w:szCs w:val="21"/>
                <w:highlight w:val="none"/>
                <w:u w:val="none"/>
                <w:lang w:eastAsia="zh-CN"/>
              </w:rPr>
              <w:t>服务水平指标</w:t>
            </w:r>
          </w:p>
        </w:tc>
        <w:tc>
          <w:tcPr>
            <w:tcW w:w="3573" w:type="dxa"/>
            <w:tcBorders>
              <w:top w:val="single" w:color="000000" w:sz="4" w:space="0"/>
              <w:left w:val="single" w:color="000000" w:sz="4" w:space="0"/>
              <w:bottom w:val="single" w:color="000000" w:sz="4" w:space="0"/>
              <w:right w:val="single" w:color="000000" w:sz="4" w:space="0"/>
            </w:tcBorders>
            <w:noWrap w:val="0"/>
            <w:vAlign w:val="center"/>
          </w:tcPr>
          <w:p w14:paraId="36C02A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财政增值服务项目</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0B6C720F">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64649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6DD41E96">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20</w:t>
            </w:r>
          </w:p>
        </w:tc>
        <w:tc>
          <w:tcPr>
            <w:tcW w:w="1909" w:type="dxa"/>
            <w:vMerge w:val="continue"/>
            <w:tcBorders>
              <w:top w:val="single" w:color="auto" w:sz="4" w:space="0"/>
              <w:left w:val="single" w:color="000000" w:sz="4" w:space="0"/>
              <w:bottom w:val="single" w:color="auto" w:sz="4" w:space="0"/>
              <w:right w:val="single" w:color="000000" w:sz="4" w:space="0"/>
            </w:tcBorders>
            <w:noWrap w:val="0"/>
            <w:vAlign w:val="center"/>
          </w:tcPr>
          <w:p w14:paraId="0849F42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3573" w:type="dxa"/>
            <w:tcBorders>
              <w:top w:val="single" w:color="000000" w:sz="4" w:space="0"/>
              <w:left w:val="single" w:color="000000" w:sz="4" w:space="0"/>
              <w:bottom w:val="single" w:color="000000" w:sz="4" w:space="0"/>
              <w:right w:val="single" w:color="000000" w:sz="4" w:space="0"/>
            </w:tcBorders>
            <w:noWrap w:val="0"/>
            <w:vAlign w:val="center"/>
          </w:tcPr>
          <w:p w14:paraId="7F206F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服务质量</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5BA08EF9">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r w14:paraId="1D803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124117A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21</w:t>
            </w:r>
          </w:p>
        </w:tc>
        <w:tc>
          <w:tcPr>
            <w:tcW w:w="1909" w:type="dxa"/>
            <w:tcBorders>
              <w:top w:val="single" w:color="auto" w:sz="4" w:space="0"/>
              <w:left w:val="single" w:color="000000" w:sz="4" w:space="0"/>
              <w:bottom w:val="single" w:color="000000" w:sz="4" w:space="0"/>
              <w:right w:val="single" w:color="000000" w:sz="4" w:space="0"/>
            </w:tcBorders>
            <w:noWrap w:val="0"/>
            <w:vAlign w:val="center"/>
          </w:tcPr>
          <w:p w14:paraId="60D459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sz w:val="21"/>
                <w:szCs w:val="21"/>
                <w:highlight w:val="none"/>
                <w:u w:val="none"/>
              </w:rPr>
              <w:t>附加分</w:t>
            </w:r>
          </w:p>
        </w:tc>
        <w:tc>
          <w:tcPr>
            <w:tcW w:w="3573" w:type="dxa"/>
            <w:tcBorders>
              <w:top w:val="single" w:color="000000" w:sz="4" w:space="0"/>
              <w:left w:val="single" w:color="000000" w:sz="4" w:space="0"/>
              <w:bottom w:val="single" w:color="000000" w:sz="4" w:space="0"/>
              <w:right w:val="single" w:color="000000" w:sz="4" w:space="0"/>
            </w:tcBorders>
            <w:noWrap w:val="0"/>
            <w:vAlign w:val="center"/>
          </w:tcPr>
          <w:p w14:paraId="23DE124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附加分</w:t>
            </w:r>
          </w:p>
        </w:tc>
        <w:tc>
          <w:tcPr>
            <w:tcW w:w="2251" w:type="dxa"/>
            <w:tcBorders>
              <w:top w:val="single" w:color="000000" w:sz="4" w:space="0"/>
              <w:left w:val="single" w:color="000000" w:sz="4" w:space="0"/>
              <w:bottom w:val="single" w:color="000000" w:sz="4" w:space="0"/>
              <w:right w:val="single" w:color="000000" w:sz="4" w:space="0"/>
            </w:tcBorders>
            <w:noWrap w:val="0"/>
            <w:vAlign w:val="center"/>
          </w:tcPr>
          <w:p w14:paraId="1BB504D9">
            <w:pPr>
              <w:keepNext w:val="0"/>
              <w:keepLines w:val="0"/>
              <w:widowControl/>
              <w:suppressLineNumbers w:val="0"/>
              <w:jc w:val="left"/>
              <w:textAlignment w:val="center"/>
              <w:rPr>
                <w:rFonts w:hint="default" w:ascii="Times New Roman" w:hAnsi="Times New Roman" w:eastAsia="宋体" w:cs="Times New Roman"/>
                <w:i w:val="0"/>
                <w:iCs w:val="0"/>
                <w:color w:val="auto"/>
                <w:sz w:val="21"/>
                <w:szCs w:val="21"/>
                <w:highlight w:val="none"/>
                <w:u w:val="none"/>
              </w:rPr>
            </w:pPr>
          </w:p>
        </w:tc>
      </w:tr>
    </w:tbl>
    <w:p w14:paraId="0D880070">
      <w:pPr>
        <w:pStyle w:val="6"/>
        <w:rPr>
          <w:color w:val="auto"/>
          <w:highlight w:val="none"/>
        </w:rPr>
      </w:pPr>
    </w:p>
    <w:p w14:paraId="4383DA96">
      <w:pPr>
        <w:spacing w:beforeLines="50" w:line="360" w:lineRule="auto"/>
        <w:rPr>
          <w:rFonts w:ascii="黑体" w:hAnsi="黑体" w:eastAsia="黑体"/>
          <w:color w:val="auto"/>
          <w:highlight w:val="none"/>
        </w:rPr>
      </w:pPr>
      <w:r>
        <w:rPr>
          <w:rFonts w:hint="eastAsia" w:ascii="黑体" w:hAnsi="黑体" w:eastAsia="黑体"/>
          <w:color w:val="auto"/>
          <w:szCs w:val="21"/>
          <w:highlight w:val="none"/>
        </w:rPr>
        <w:t>注明：按招标文件第五部分 评标方法、步骤、标准之附表三商务技术评审表相对应条款填写。（此表格建议放置在商务技术投标文件的开端）</w:t>
      </w:r>
    </w:p>
    <w:p w14:paraId="0C89D24F">
      <w:pPr>
        <w:spacing w:line="360" w:lineRule="auto"/>
        <w:rPr>
          <w:rFonts w:ascii="黑体" w:hAnsi="黑体" w:eastAsia="黑体"/>
          <w:color w:val="auto"/>
          <w:highlight w:val="none"/>
        </w:rPr>
      </w:pPr>
    </w:p>
    <w:p w14:paraId="57E02B83">
      <w:pPr>
        <w:spacing w:line="360" w:lineRule="auto"/>
        <w:rPr>
          <w:rFonts w:ascii="黑体" w:hAnsi="黑体" w:eastAsia="黑体"/>
          <w:color w:val="auto"/>
          <w:highlight w:val="none"/>
        </w:rPr>
      </w:pPr>
    </w:p>
    <w:p w14:paraId="4B8DA272">
      <w:pPr>
        <w:spacing w:line="360" w:lineRule="auto"/>
        <w:rPr>
          <w:rFonts w:ascii="黑体" w:hAnsi="黑体" w:eastAsia="黑体"/>
          <w:color w:val="auto"/>
          <w:highlight w:val="none"/>
        </w:rPr>
      </w:pPr>
    </w:p>
    <w:tbl>
      <w:tblPr>
        <w:tblStyle w:val="2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53"/>
        <w:gridCol w:w="3175"/>
      </w:tblGrid>
      <w:tr w14:paraId="2F21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435C6EE7">
            <w:pPr>
              <w:overflowPunct w:val="0"/>
              <w:adjustRightInd w:val="0"/>
              <w:spacing w:line="360" w:lineRule="auto"/>
              <w:rPr>
                <w:rFonts w:ascii="黑体" w:hAnsi="黑体" w:eastAsia="黑体"/>
                <w:color w:val="auto"/>
                <w:szCs w:val="21"/>
                <w:highlight w:val="none"/>
              </w:rPr>
            </w:pPr>
            <w:r>
              <w:rPr>
                <w:rFonts w:hint="eastAsia" w:ascii="黑体" w:hAnsi="黑体" w:eastAsia="黑体"/>
                <w:color w:val="auto"/>
                <w:szCs w:val="21"/>
                <w:highlight w:val="none"/>
              </w:rPr>
              <w:t>投标人名称（加盖公章）：</w:t>
            </w:r>
            <w:r>
              <w:rPr>
                <w:rFonts w:hint="eastAsia" w:ascii="黑体" w:hAnsi="黑体" w:eastAsia="黑体"/>
                <w:color w:val="auto"/>
                <w:szCs w:val="21"/>
                <w:highlight w:val="none"/>
                <w:u w:val="single"/>
              </w:rPr>
              <w:t xml:space="preserve">                         </w:t>
            </w:r>
          </w:p>
        </w:tc>
        <w:tc>
          <w:tcPr>
            <w:tcW w:w="3175" w:type="dxa"/>
            <w:vAlign w:val="top"/>
          </w:tcPr>
          <w:p w14:paraId="4596088A">
            <w:pPr>
              <w:spacing w:line="360" w:lineRule="auto"/>
              <w:rPr>
                <w:rFonts w:ascii="黑体" w:hAnsi="黑体" w:eastAsia="黑体"/>
                <w:color w:val="auto"/>
                <w:szCs w:val="21"/>
                <w:highlight w:val="none"/>
              </w:rPr>
            </w:pPr>
          </w:p>
        </w:tc>
      </w:tr>
      <w:tr w14:paraId="4CB8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vAlign w:val="top"/>
          </w:tcPr>
          <w:p w14:paraId="721A09CE">
            <w:pPr>
              <w:spacing w:line="360" w:lineRule="auto"/>
              <w:rPr>
                <w:rFonts w:ascii="黑体" w:hAnsi="黑体" w:eastAsia="黑体"/>
                <w:color w:val="auto"/>
                <w:szCs w:val="21"/>
                <w:highlight w:val="none"/>
              </w:rPr>
            </w:pPr>
            <w:r>
              <w:rPr>
                <w:rFonts w:hint="eastAsia" w:ascii="黑体" w:hAnsi="黑体" w:eastAsia="黑体"/>
                <w:color w:val="auto"/>
                <w:szCs w:val="21"/>
                <w:highlight w:val="none"/>
              </w:rPr>
              <w:t>日期：</w:t>
            </w:r>
            <w:r>
              <w:rPr>
                <w:rFonts w:hint="eastAsia" w:ascii="黑体" w:hAnsi="黑体" w:eastAsia="黑体"/>
                <w:color w:val="auto"/>
                <w:szCs w:val="21"/>
                <w:highlight w:val="none"/>
                <w:u w:val="single"/>
              </w:rPr>
              <w:t xml:space="preserve">             年           月            日</w:t>
            </w:r>
          </w:p>
        </w:tc>
        <w:tc>
          <w:tcPr>
            <w:tcW w:w="3175" w:type="dxa"/>
            <w:vAlign w:val="top"/>
          </w:tcPr>
          <w:p w14:paraId="40A91068">
            <w:pPr>
              <w:spacing w:line="360" w:lineRule="auto"/>
              <w:rPr>
                <w:rFonts w:ascii="黑体" w:hAnsi="黑体" w:eastAsia="黑体"/>
                <w:color w:val="auto"/>
                <w:szCs w:val="21"/>
                <w:highlight w:val="none"/>
              </w:rPr>
            </w:pPr>
          </w:p>
        </w:tc>
      </w:tr>
    </w:tbl>
    <w:p w14:paraId="257F1725">
      <w:pPr>
        <w:spacing w:line="360" w:lineRule="auto"/>
        <w:rPr>
          <w:rFonts w:ascii="黑体" w:hAnsi="黑体" w:eastAsia="黑体"/>
          <w:color w:val="auto"/>
          <w:highlight w:val="none"/>
        </w:rPr>
      </w:pPr>
    </w:p>
    <w:sectPr>
      <w:headerReference r:id="rId3" w:type="default"/>
      <w:footerReference r:id="rId4" w:type="default"/>
      <w:pgSz w:w="11906" w:h="16838"/>
      <w:pgMar w:top="1701" w:right="1797" w:bottom="1134" w:left="1797" w:header="851" w:footer="680"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3552B">
    <w:pPr>
      <w:pStyle w:val="13"/>
      <w:jc w:val="center"/>
    </w:pPr>
    <w:r>
      <w:rPr>
        <w:rFonts w:ascii="黑体" w:hAnsi="黑体" w:eastAsia="黑体"/>
        <w:color w:val="FF0000"/>
      </w:rPr>
      <w:fldChar w:fldCharType="begin"/>
    </w:r>
    <w:r>
      <w:instrText xml:space="preserve"> PAGE   \* MERGEFORMAT </w:instrText>
    </w:r>
    <w:r>
      <w:fldChar w:fldCharType="separate"/>
    </w:r>
    <w:r>
      <w:rPr>
        <w:lang w:val="zh-CN"/>
      </w:rPr>
      <w:t>27</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DC70F">
    <w:pPr>
      <w:pStyle w:val="14"/>
      <w:jc w:val="left"/>
      <w:rPr>
        <w:rFonts w:ascii="黑体" w:hAnsi="黑体" w:eastAsia="黑体"/>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F54D1"/>
    <w:multiLevelType w:val="singleLevel"/>
    <w:tmpl w:val="9D1F54D1"/>
    <w:lvl w:ilvl="0" w:tentative="0">
      <w:start w:val="1"/>
      <w:numFmt w:val="decimal"/>
      <w:suff w:val="nothing"/>
      <w:lvlText w:val="%1）"/>
      <w:lvlJc w:val="left"/>
    </w:lvl>
  </w:abstractNum>
  <w:abstractNum w:abstractNumId="1">
    <w:nsid w:val="0424120C"/>
    <w:multiLevelType w:val="multilevel"/>
    <w:tmpl w:val="0424120C"/>
    <w:lvl w:ilvl="0" w:tentative="0">
      <w:start w:val="1"/>
      <w:numFmt w:val="chineseCountingThousand"/>
      <w:lvlText w:val="第%1条"/>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42946DA"/>
    <w:multiLevelType w:val="multilevel"/>
    <w:tmpl w:val="042946D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55B2C6F"/>
    <w:multiLevelType w:val="multilevel"/>
    <w:tmpl w:val="055B2C6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68E1741"/>
    <w:multiLevelType w:val="multilevel"/>
    <w:tmpl w:val="068E1741"/>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711475B"/>
    <w:multiLevelType w:val="multilevel"/>
    <w:tmpl w:val="0711475B"/>
    <w:lvl w:ilvl="0" w:tentative="0">
      <w:start w:val="1"/>
      <w:numFmt w:val="chineseCountingThousand"/>
      <w:lvlText w:val="(%1)"/>
      <w:lvlJc w:val="left"/>
      <w:pPr>
        <w:ind w:left="420" w:hanging="420"/>
      </w:pPr>
      <w:rPr>
        <w:rFonts w:hint="eastAsia"/>
        <w:b/>
        <w:i w:val="0"/>
        <w:spacing w:val="0"/>
        <w:w w:val="66"/>
        <w:kern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77301F4"/>
    <w:multiLevelType w:val="multilevel"/>
    <w:tmpl w:val="077301F4"/>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8F138CA"/>
    <w:multiLevelType w:val="multilevel"/>
    <w:tmpl w:val="08F138CA"/>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A550C87"/>
    <w:multiLevelType w:val="multilevel"/>
    <w:tmpl w:val="0A550C87"/>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DA405B3"/>
    <w:multiLevelType w:val="multilevel"/>
    <w:tmpl w:val="0DA405B3"/>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DA773AA"/>
    <w:multiLevelType w:val="multilevel"/>
    <w:tmpl w:val="0DA773AA"/>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E0F1243"/>
    <w:multiLevelType w:val="multilevel"/>
    <w:tmpl w:val="0E0F124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EB56B8E"/>
    <w:multiLevelType w:val="multilevel"/>
    <w:tmpl w:val="0EB56B8E"/>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EE76AD9"/>
    <w:multiLevelType w:val="multilevel"/>
    <w:tmpl w:val="0EE76AD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1314AE1"/>
    <w:multiLevelType w:val="multilevel"/>
    <w:tmpl w:val="11314A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256166A"/>
    <w:multiLevelType w:val="multilevel"/>
    <w:tmpl w:val="1256166A"/>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27007EF"/>
    <w:multiLevelType w:val="multilevel"/>
    <w:tmpl w:val="127007EF"/>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4D85941"/>
    <w:multiLevelType w:val="multilevel"/>
    <w:tmpl w:val="14D85941"/>
    <w:lvl w:ilvl="0" w:tentative="0">
      <w:start w:val="1"/>
      <w:numFmt w:val="decimal"/>
      <w:lvlText w:val="%1."/>
      <w:lvlJc w:val="left"/>
      <w:pPr>
        <w:ind w:left="420" w:hanging="420"/>
      </w:pPr>
      <w:rPr>
        <w:rFonts w:hint="eastAsia"/>
        <w:b/>
        <w:i w:val="0"/>
        <w:spacing w:val="0"/>
        <w:w w:val="100"/>
        <w:position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70C5BA1"/>
    <w:multiLevelType w:val="multilevel"/>
    <w:tmpl w:val="170C5BA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17507D17"/>
    <w:multiLevelType w:val="multilevel"/>
    <w:tmpl w:val="17507D1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83855C7"/>
    <w:multiLevelType w:val="multilevel"/>
    <w:tmpl w:val="183855C7"/>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C4E0595"/>
    <w:multiLevelType w:val="multilevel"/>
    <w:tmpl w:val="1C4E059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2">
    <w:nsid w:val="1F75064D"/>
    <w:multiLevelType w:val="multilevel"/>
    <w:tmpl w:val="1F75064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266654B2"/>
    <w:multiLevelType w:val="multilevel"/>
    <w:tmpl w:val="266654B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26D85D96"/>
    <w:multiLevelType w:val="multilevel"/>
    <w:tmpl w:val="26D85D96"/>
    <w:lvl w:ilvl="0" w:tentative="0">
      <w:start w:val="1"/>
      <w:numFmt w:val="chineseCountingThousand"/>
      <w:lvlText w:val="%1、"/>
      <w:lvlJc w:val="left"/>
      <w:pPr>
        <w:ind w:left="420" w:hanging="420"/>
      </w:pPr>
      <w:rPr>
        <w:rFonts w:hint="eastAsia"/>
        <w:b/>
        <w:i w:val="0"/>
        <w:snapToGrid w:val="0"/>
        <w:spacing w:val="-10"/>
        <w:w w:val="100"/>
        <w:position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285866C7"/>
    <w:multiLevelType w:val="multilevel"/>
    <w:tmpl w:val="285866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9E2093C"/>
    <w:multiLevelType w:val="multilevel"/>
    <w:tmpl w:val="29E2093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BCD142E"/>
    <w:multiLevelType w:val="multilevel"/>
    <w:tmpl w:val="2BCD142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2C2B1E1F"/>
    <w:multiLevelType w:val="multilevel"/>
    <w:tmpl w:val="2C2B1E1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DFBB576"/>
    <w:multiLevelType w:val="singleLevel"/>
    <w:tmpl w:val="2DFBB576"/>
    <w:lvl w:ilvl="0" w:tentative="0">
      <w:start w:val="1"/>
      <w:numFmt w:val="decimal"/>
      <w:suff w:val="space"/>
      <w:lvlText w:val="(%1)"/>
      <w:lvlJc w:val="left"/>
    </w:lvl>
  </w:abstractNum>
  <w:abstractNum w:abstractNumId="30">
    <w:nsid w:val="2FF332FE"/>
    <w:multiLevelType w:val="multilevel"/>
    <w:tmpl w:val="2FF332F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1">
    <w:nsid w:val="30A7456B"/>
    <w:multiLevelType w:val="multilevel"/>
    <w:tmpl w:val="30A7456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32256D3A"/>
    <w:multiLevelType w:val="multilevel"/>
    <w:tmpl w:val="32256D3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32BF1864"/>
    <w:multiLevelType w:val="multilevel"/>
    <w:tmpl w:val="32BF1864"/>
    <w:lvl w:ilvl="0" w:tentative="0">
      <w:start w:val="1"/>
      <w:numFmt w:val="chineseCountingThousand"/>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35EA1EC4"/>
    <w:multiLevelType w:val="multilevel"/>
    <w:tmpl w:val="35EA1EC4"/>
    <w:lvl w:ilvl="0" w:tentative="0">
      <w:start w:val="1"/>
      <w:numFmt w:val="decimal"/>
      <w:lvlText w:val="%1"/>
      <w:lvlJc w:val="left"/>
      <w:pPr>
        <w:ind w:left="420" w:hanging="420"/>
      </w:pPr>
      <w:rPr>
        <w:rFonts w:hint="eastAsia"/>
        <w:b/>
        <w:i w:val="0"/>
        <w:color w:val="00000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38D61DE7"/>
    <w:multiLevelType w:val="multilevel"/>
    <w:tmpl w:val="38D61DE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38FB21FA"/>
    <w:multiLevelType w:val="multilevel"/>
    <w:tmpl w:val="38FB21F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3935772F"/>
    <w:multiLevelType w:val="multilevel"/>
    <w:tmpl w:val="3935772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396F1BD3"/>
    <w:multiLevelType w:val="multilevel"/>
    <w:tmpl w:val="396F1BD3"/>
    <w:lvl w:ilvl="0" w:tentative="0">
      <w:start w:val="1"/>
      <w:numFmt w:val="lowerLetter"/>
      <w:lvlText w:val="%1）"/>
      <w:lvlJc w:val="left"/>
      <w:pPr>
        <w:ind w:left="420" w:hanging="420"/>
      </w:pPr>
      <w:rPr>
        <w:rFonts w:hint="eastAsia" w:eastAsia="黑体"/>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39B80ABA"/>
    <w:multiLevelType w:val="multilevel"/>
    <w:tmpl w:val="39B80ABA"/>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3C780FC1"/>
    <w:multiLevelType w:val="multilevel"/>
    <w:tmpl w:val="3C780FC1"/>
    <w:lvl w:ilvl="0" w:tentative="0">
      <w:start w:val="1"/>
      <w:numFmt w:val="lowerLetter"/>
      <w:lvlText w:val="%1）"/>
      <w:lvlJc w:val="left"/>
      <w:pPr>
        <w:ind w:left="420" w:hanging="420"/>
      </w:pPr>
      <w:rPr>
        <w:rFonts w:hint="eastAsia" w:eastAsia="黑体"/>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3DD314C7"/>
    <w:multiLevelType w:val="multilevel"/>
    <w:tmpl w:val="3DD314C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3F8F0569"/>
    <w:multiLevelType w:val="multilevel"/>
    <w:tmpl w:val="3F8F0569"/>
    <w:lvl w:ilvl="0" w:tentative="0">
      <w:start w:val="1"/>
      <w:numFmt w:val="decimal"/>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3">
    <w:nsid w:val="40251A3C"/>
    <w:multiLevelType w:val="multilevel"/>
    <w:tmpl w:val="40251A3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425E41DF"/>
    <w:multiLevelType w:val="multilevel"/>
    <w:tmpl w:val="425E41DF"/>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47536C22"/>
    <w:multiLevelType w:val="multilevel"/>
    <w:tmpl w:val="47536C22"/>
    <w:lvl w:ilvl="0" w:tentative="0">
      <w:start w:val="1"/>
      <w:numFmt w:val="chineseCountingThousand"/>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482D22DC"/>
    <w:multiLevelType w:val="multilevel"/>
    <w:tmpl w:val="482D22DC"/>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4B7E55F5"/>
    <w:multiLevelType w:val="multilevel"/>
    <w:tmpl w:val="4B7E55F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4E1D7700"/>
    <w:multiLevelType w:val="multilevel"/>
    <w:tmpl w:val="4E1D770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501A3387"/>
    <w:multiLevelType w:val="multilevel"/>
    <w:tmpl w:val="501A3387"/>
    <w:lvl w:ilvl="0" w:tentative="0">
      <w:start w:val="1"/>
      <w:numFmt w:val="decimal"/>
      <w:lvlText w:val="%1."/>
      <w:lvlJc w:val="left"/>
      <w:pPr>
        <w:ind w:left="420" w:hanging="420"/>
      </w:pPr>
      <w:rPr>
        <w:rFonts w:hint="default"/>
        <w:b/>
        <w:i w:val="0"/>
        <w:highlight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52C222DF"/>
    <w:multiLevelType w:val="multilevel"/>
    <w:tmpl w:val="52C222DF"/>
    <w:lvl w:ilvl="0" w:tentative="0">
      <w:start w:val="1"/>
      <w:numFmt w:val="decimal"/>
      <w:lvlText w:val="%1."/>
      <w:lvlJc w:val="left"/>
      <w:pPr>
        <w:ind w:left="420" w:hanging="420"/>
      </w:pPr>
      <w:rPr>
        <w:rFonts w:hint="eastAsia"/>
        <w:b/>
        <w:i w:val="0"/>
        <w:spacing w:val="0"/>
        <w:w w:val="100"/>
        <w:position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2">
    <w:nsid w:val="545A4EC6"/>
    <w:multiLevelType w:val="multilevel"/>
    <w:tmpl w:val="545A4EC6"/>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54E6368B"/>
    <w:multiLevelType w:val="multilevel"/>
    <w:tmpl w:val="54E636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5507407A"/>
    <w:multiLevelType w:val="multilevel"/>
    <w:tmpl w:val="550740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55E32074"/>
    <w:multiLevelType w:val="multilevel"/>
    <w:tmpl w:val="55E3207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57E64E5F"/>
    <w:multiLevelType w:val="multilevel"/>
    <w:tmpl w:val="57E64E5F"/>
    <w:lvl w:ilvl="0" w:tentative="0">
      <w:start w:val="1"/>
      <w:numFmt w:val="decimal"/>
      <w:lvlText w:val="%1、"/>
      <w:lvlJc w:val="left"/>
      <w:pPr>
        <w:ind w:left="420" w:hanging="420"/>
      </w:pPr>
      <w:rPr>
        <w:rFonts w:hint="eastAsia"/>
        <w:b/>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592B198C"/>
    <w:multiLevelType w:val="multilevel"/>
    <w:tmpl w:val="592B198C"/>
    <w:lvl w:ilvl="0" w:tentative="0">
      <w:start w:val="1"/>
      <w:numFmt w:val="chineseCountingThousand"/>
      <w:lvlText w:val="%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5AF47977"/>
    <w:multiLevelType w:val="multilevel"/>
    <w:tmpl w:val="5AF47977"/>
    <w:lvl w:ilvl="0" w:tentative="0">
      <w:start w:val="1"/>
      <w:numFmt w:val="decimal"/>
      <w:lvlText w:val="%1、"/>
      <w:lvlJc w:val="left"/>
      <w:pPr>
        <w:ind w:left="420" w:hanging="420"/>
      </w:pPr>
      <w:rPr>
        <w:rFonts w:hint="eastAsia"/>
        <w:b/>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5C032787"/>
    <w:multiLevelType w:val="multilevel"/>
    <w:tmpl w:val="5C032787"/>
    <w:lvl w:ilvl="0" w:tentative="0">
      <w:start w:val="1"/>
      <w:numFmt w:val="decimal"/>
      <w:lvlText w:val="%1."/>
      <w:lvlJc w:val="left"/>
      <w:pPr>
        <w:ind w:left="420" w:hanging="420"/>
      </w:pPr>
      <w:rPr>
        <w:rFonts w:hint="eastAsia"/>
        <w:b/>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5DC93A97"/>
    <w:multiLevelType w:val="multilevel"/>
    <w:tmpl w:val="5DC93A9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2A936E8"/>
    <w:multiLevelType w:val="multilevel"/>
    <w:tmpl w:val="62A936E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2">
    <w:nsid w:val="63310E35"/>
    <w:multiLevelType w:val="multilevel"/>
    <w:tmpl w:val="63310E3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63520B2B"/>
    <w:multiLevelType w:val="multilevel"/>
    <w:tmpl w:val="63520B2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644C7B57"/>
    <w:multiLevelType w:val="multilevel"/>
    <w:tmpl w:val="644C7B57"/>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67F55E3A"/>
    <w:multiLevelType w:val="multilevel"/>
    <w:tmpl w:val="67F55E3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6A8705F4"/>
    <w:multiLevelType w:val="multilevel"/>
    <w:tmpl w:val="6A8705F4"/>
    <w:lvl w:ilvl="0" w:tentative="0">
      <w:start w:val="1"/>
      <w:numFmt w:val="decimal"/>
      <w:lvlText w:val="%1."/>
      <w:lvlJc w:val="left"/>
      <w:pPr>
        <w:ind w:left="420" w:hanging="420"/>
      </w:pPr>
      <w:rPr>
        <w:rFonts w:hint="eastAsia"/>
        <w:b/>
        <w:i w:val="0"/>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7">
    <w:nsid w:val="6AF74230"/>
    <w:multiLevelType w:val="multilevel"/>
    <w:tmpl w:val="6AF7423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8">
    <w:nsid w:val="6BCC430F"/>
    <w:multiLevelType w:val="multilevel"/>
    <w:tmpl w:val="6BCC430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9">
    <w:nsid w:val="70D74618"/>
    <w:multiLevelType w:val="multilevel"/>
    <w:tmpl w:val="70D7461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0EC5F3A"/>
    <w:multiLevelType w:val="multilevel"/>
    <w:tmpl w:val="70EC5F3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1">
    <w:nsid w:val="72254C9F"/>
    <w:multiLevelType w:val="multilevel"/>
    <w:tmpl w:val="72254C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733C03B1"/>
    <w:multiLevelType w:val="multilevel"/>
    <w:tmpl w:val="733C03B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5325F7C"/>
    <w:multiLevelType w:val="multilevel"/>
    <w:tmpl w:val="75325F7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4">
    <w:nsid w:val="794218BA"/>
    <w:multiLevelType w:val="multilevel"/>
    <w:tmpl w:val="794218B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4"/>
  </w:num>
  <w:num w:numId="2">
    <w:abstractNumId w:val="62"/>
  </w:num>
  <w:num w:numId="3">
    <w:abstractNumId w:val="13"/>
  </w:num>
  <w:num w:numId="4">
    <w:abstractNumId w:val="29"/>
  </w:num>
  <w:num w:numId="5">
    <w:abstractNumId w:val="24"/>
  </w:num>
  <w:num w:numId="6">
    <w:abstractNumId w:val="12"/>
  </w:num>
  <w:num w:numId="7">
    <w:abstractNumId w:val="5"/>
  </w:num>
  <w:num w:numId="8">
    <w:abstractNumId w:val="50"/>
  </w:num>
  <w:num w:numId="9">
    <w:abstractNumId w:val="17"/>
  </w:num>
  <w:num w:numId="10">
    <w:abstractNumId w:val="33"/>
  </w:num>
  <w:num w:numId="11">
    <w:abstractNumId w:val="58"/>
  </w:num>
  <w:num w:numId="12">
    <w:abstractNumId w:val="11"/>
  </w:num>
  <w:num w:numId="13">
    <w:abstractNumId w:val="70"/>
  </w:num>
  <w:num w:numId="14">
    <w:abstractNumId w:val="37"/>
  </w:num>
  <w:num w:numId="15">
    <w:abstractNumId w:val="27"/>
  </w:num>
  <w:num w:numId="16">
    <w:abstractNumId w:val="39"/>
  </w:num>
  <w:num w:numId="17">
    <w:abstractNumId w:val="63"/>
  </w:num>
  <w:num w:numId="18">
    <w:abstractNumId w:val="52"/>
  </w:num>
  <w:num w:numId="19">
    <w:abstractNumId w:val="36"/>
  </w:num>
  <w:num w:numId="20">
    <w:abstractNumId w:val="43"/>
  </w:num>
  <w:num w:numId="21">
    <w:abstractNumId w:val="35"/>
  </w:num>
  <w:num w:numId="22">
    <w:abstractNumId w:val="72"/>
  </w:num>
  <w:num w:numId="23">
    <w:abstractNumId w:val="41"/>
  </w:num>
  <w:num w:numId="24">
    <w:abstractNumId w:val="64"/>
  </w:num>
  <w:num w:numId="25">
    <w:abstractNumId w:val="14"/>
  </w:num>
  <w:num w:numId="26">
    <w:abstractNumId w:val="47"/>
  </w:num>
  <w:num w:numId="27">
    <w:abstractNumId w:val="44"/>
  </w:num>
  <w:num w:numId="28">
    <w:abstractNumId w:val="32"/>
  </w:num>
  <w:num w:numId="29">
    <w:abstractNumId w:val="3"/>
  </w:num>
  <w:num w:numId="30">
    <w:abstractNumId w:val="2"/>
  </w:num>
  <w:num w:numId="31">
    <w:abstractNumId w:val="19"/>
  </w:num>
  <w:num w:numId="32">
    <w:abstractNumId w:val="60"/>
  </w:num>
  <w:num w:numId="33">
    <w:abstractNumId w:val="26"/>
  </w:num>
  <w:num w:numId="34">
    <w:abstractNumId w:val="25"/>
  </w:num>
  <w:num w:numId="35">
    <w:abstractNumId w:val="53"/>
  </w:num>
  <w:num w:numId="36">
    <w:abstractNumId w:val="22"/>
  </w:num>
  <w:num w:numId="37">
    <w:abstractNumId w:val="8"/>
  </w:num>
  <w:num w:numId="38">
    <w:abstractNumId w:val="10"/>
  </w:num>
  <w:num w:numId="39">
    <w:abstractNumId w:val="9"/>
  </w:num>
  <w:num w:numId="40">
    <w:abstractNumId w:val="54"/>
  </w:num>
  <w:num w:numId="41">
    <w:abstractNumId w:val="31"/>
  </w:num>
  <w:num w:numId="42">
    <w:abstractNumId w:val="18"/>
  </w:num>
  <w:num w:numId="43">
    <w:abstractNumId w:val="57"/>
  </w:num>
  <w:num w:numId="44">
    <w:abstractNumId w:val="56"/>
  </w:num>
  <w:num w:numId="45">
    <w:abstractNumId w:val="61"/>
  </w:num>
  <w:num w:numId="46">
    <w:abstractNumId w:val="40"/>
  </w:num>
  <w:num w:numId="47">
    <w:abstractNumId w:val="23"/>
  </w:num>
  <w:num w:numId="48">
    <w:abstractNumId w:val="51"/>
  </w:num>
  <w:num w:numId="49">
    <w:abstractNumId w:val="48"/>
  </w:num>
  <w:num w:numId="50">
    <w:abstractNumId w:val="38"/>
  </w:num>
  <w:num w:numId="51">
    <w:abstractNumId w:val="68"/>
  </w:num>
  <w:num w:numId="52">
    <w:abstractNumId w:val="21"/>
  </w:num>
  <w:num w:numId="53">
    <w:abstractNumId w:val="67"/>
  </w:num>
  <w:num w:numId="54">
    <w:abstractNumId w:val="74"/>
  </w:num>
  <w:num w:numId="55">
    <w:abstractNumId w:val="1"/>
  </w:num>
  <w:num w:numId="56">
    <w:abstractNumId w:val="49"/>
  </w:num>
  <w:num w:numId="57">
    <w:abstractNumId w:val="0"/>
  </w:num>
  <w:num w:numId="58">
    <w:abstractNumId w:val="7"/>
  </w:num>
  <w:num w:numId="59">
    <w:abstractNumId w:val="6"/>
  </w:num>
  <w:num w:numId="60">
    <w:abstractNumId w:val="59"/>
  </w:num>
  <w:num w:numId="61">
    <w:abstractNumId w:val="46"/>
  </w:num>
  <w:num w:numId="62">
    <w:abstractNumId w:val="4"/>
  </w:num>
  <w:num w:numId="63">
    <w:abstractNumId w:val="16"/>
  </w:num>
  <w:num w:numId="64">
    <w:abstractNumId w:val="45"/>
  </w:num>
  <w:num w:numId="65">
    <w:abstractNumId w:val="15"/>
  </w:num>
  <w:num w:numId="66">
    <w:abstractNumId w:val="20"/>
  </w:num>
  <w:num w:numId="67">
    <w:abstractNumId w:val="66"/>
  </w:num>
  <w:num w:numId="68">
    <w:abstractNumId w:val="71"/>
  </w:num>
  <w:num w:numId="69">
    <w:abstractNumId w:val="73"/>
  </w:num>
  <w:num w:numId="70">
    <w:abstractNumId w:val="30"/>
  </w:num>
  <w:num w:numId="71">
    <w:abstractNumId w:val="55"/>
  </w:num>
  <w:num w:numId="72">
    <w:abstractNumId w:val="65"/>
  </w:num>
  <w:num w:numId="73">
    <w:abstractNumId w:val="42"/>
  </w:num>
  <w:num w:numId="74">
    <w:abstractNumId w:val="28"/>
  </w:num>
  <w:num w:numId="75">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F9"/>
    <w:rsid w:val="000010BB"/>
    <w:rsid w:val="000013F1"/>
    <w:rsid w:val="00001F97"/>
    <w:rsid w:val="000026FE"/>
    <w:rsid w:val="00002932"/>
    <w:rsid w:val="00002AED"/>
    <w:rsid w:val="00002EFC"/>
    <w:rsid w:val="00003266"/>
    <w:rsid w:val="00003310"/>
    <w:rsid w:val="0000344B"/>
    <w:rsid w:val="00003C1A"/>
    <w:rsid w:val="00003C75"/>
    <w:rsid w:val="00004779"/>
    <w:rsid w:val="000047C9"/>
    <w:rsid w:val="00004E8D"/>
    <w:rsid w:val="0000569B"/>
    <w:rsid w:val="0000573A"/>
    <w:rsid w:val="0000591B"/>
    <w:rsid w:val="00005D02"/>
    <w:rsid w:val="00005E50"/>
    <w:rsid w:val="00006469"/>
    <w:rsid w:val="0000736C"/>
    <w:rsid w:val="00007AFD"/>
    <w:rsid w:val="00007C67"/>
    <w:rsid w:val="000100E9"/>
    <w:rsid w:val="00010866"/>
    <w:rsid w:val="000108A4"/>
    <w:rsid w:val="00010B46"/>
    <w:rsid w:val="00010DC2"/>
    <w:rsid w:val="000111BC"/>
    <w:rsid w:val="0001140E"/>
    <w:rsid w:val="000115FB"/>
    <w:rsid w:val="00011B45"/>
    <w:rsid w:val="0001212F"/>
    <w:rsid w:val="00012353"/>
    <w:rsid w:val="00012887"/>
    <w:rsid w:val="000129CC"/>
    <w:rsid w:val="00012B44"/>
    <w:rsid w:val="00012F9E"/>
    <w:rsid w:val="00013222"/>
    <w:rsid w:val="00013306"/>
    <w:rsid w:val="00013C00"/>
    <w:rsid w:val="00013C52"/>
    <w:rsid w:val="00013F69"/>
    <w:rsid w:val="00014FD9"/>
    <w:rsid w:val="000155C8"/>
    <w:rsid w:val="0001578E"/>
    <w:rsid w:val="00015A18"/>
    <w:rsid w:val="000163DA"/>
    <w:rsid w:val="0001672C"/>
    <w:rsid w:val="00016A0A"/>
    <w:rsid w:val="00017103"/>
    <w:rsid w:val="00017626"/>
    <w:rsid w:val="00017850"/>
    <w:rsid w:val="00017A69"/>
    <w:rsid w:val="00017BBE"/>
    <w:rsid w:val="00020831"/>
    <w:rsid w:val="00020E65"/>
    <w:rsid w:val="000215BB"/>
    <w:rsid w:val="00021869"/>
    <w:rsid w:val="00023134"/>
    <w:rsid w:val="00023542"/>
    <w:rsid w:val="00023D47"/>
    <w:rsid w:val="00023E8B"/>
    <w:rsid w:val="0002425E"/>
    <w:rsid w:val="00024720"/>
    <w:rsid w:val="000255FD"/>
    <w:rsid w:val="00025686"/>
    <w:rsid w:val="00025BA4"/>
    <w:rsid w:val="00025EC9"/>
    <w:rsid w:val="000262C8"/>
    <w:rsid w:val="00026846"/>
    <w:rsid w:val="00026E9A"/>
    <w:rsid w:val="00027918"/>
    <w:rsid w:val="000313C9"/>
    <w:rsid w:val="00031A57"/>
    <w:rsid w:val="00032273"/>
    <w:rsid w:val="000326DA"/>
    <w:rsid w:val="00032773"/>
    <w:rsid w:val="000329D9"/>
    <w:rsid w:val="00033770"/>
    <w:rsid w:val="00033A70"/>
    <w:rsid w:val="00033E5C"/>
    <w:rsid w:val="000348FE"/>
    <w:rsid w:val="00034A59"/>
    <w:rsid w:val="00034B87"/>
    <w:rsid w:val="0003507B"/>
    <w:rsid w:val="00035414"/>
    <w:rsid w:val="00035599"/>
    <w:rsid w:val="00035834"/>
    <w:rsid w:val="00035A33"/>
    <w:rsid w:val="0003630F"/>
    <w:rsid w:val="00036B6D"/>
    <w:rsid w:val="00036CD6"/>
    <w:rsid w:val="00036DF6"/>
    <w:rsid w:val="00036E9C"/>
    <w:rsid w:val="00037179"/>
    <w:rsid w:val="0004007C"/>
    <w:rsid w:val="000402D4"/>
    <w:rsid w:val="00040373"/>
    <w:rsid w:val="00040887"/>
    <w:rsid w:val="00041895"/>
    <w:rsid w:val="00041A3B"/>
    <w:rsid w:val="00041C2F"/>
    <w:rsid w:val="00041DE3"/>
    <w:rsid w:val="00041F9C"/>
    <w:rsid w:val="0004225C"/>
    <w:rsid w:val="00042A48"/>
    <w:rsid w:val="00042B14"/>
    <w:rsid w:val="00042F2E"/>
    <w:rsid w:val="0004306E"/>
    <w:rsid w:val="0004343F"/>
    <w:rsid w:val="0004426E"/>
    <w:rsid w:val="000445A8"/>
    <w:rsid w:val="0004489A"/>
    <w:rsid w:val="00044D03"/>
    <w:rsid w:val="0004545E"/>
    <w:rsid w:val="000458A2"/>
    <w:rsid w:val="00045D9B"/>
    <w:rsid w:val="00046138"/>
    <w:rsid w:val="000467FE"/>
    <w:rsid w:val="00046E03"/>
    <w:rsid w:val="00046EDE"/>
    <w:rsid w:val="0004779D"/>
    <w:rsid w:val="00047959"/>
    <w:rsid w:val="00047F01"/>
    <w:rsid w:val="000500B4"/>
    <w:rsid w:val="000504E2"/>
    <w:rsid w:val="000507E6"/>
    <w:rsid w:val="00050A50"/>
    <w:rsid w:val="00050CF5"/>
    <w:rsid w:val="00050D84"/>
    <w:rsid w:val="00050FB3"/>
    <w:rsid w:val="00051B0A"/>
    <w:rsid w:val="00051FDB"/>
    <w:rsid w:val="000523C2"/>
    <w:rsid w:val="00052540"/>
    <w:rsid w:val="000527EE"/>
    <w:rsid w:val="0005311F"/>
    <w:rsid w:val="00053536"/>
    <w:rsid w:val="00053AB3"/>
    <w:rsid w:val="00053CF7"/>
    <w:rsid w:val="000540B6"/>
    <w:rsid w:val="0005429A"/>
    <w:rsid w:val="0005455A"/>
    <w:rsid w:val="00055623"/>
    <w:rsid w:val="0005569D"/>
    <w:rsid w:val="00055B71"/>
    <w:rsid w:val="00055C02"/>
    <w:rsid w:val="00055D9E"/>
    <w:rsid w:val="00056198"/>
    <w:rsid w:val="00056398"/>
    <w:rsid w:val="000568E1"/>
    <w:rsid w:val="000569AD"/>
    <w:rsid w:val="00056A46"/>
    <w:rsid w:val="00056B8D"/>
    <w:rsid w:val="00056C24"/>
    <w:rsid w:val="00056DF4"/>
    <w:rsid w:val="00057299"/>
    <w:rsid w:val="000572A0"/>
    <w:rsid w:val="00057356"/>
    <w:rsid w:val="000577DB"/>
    <w:rsid w:val="00057909"/>
    <w:rsid w:val="00057A49"/>
    <w:rsid w:val="00060333"/>
    <w:rsid w:val="00060E5F"/>
    <w:rsid w:val="000611ED"/>
    <w:rsid w:val="00061F62"/>
    <w:rsid w:val="0006230A"/>
    <w:rsid w:val="00063850"/>
    <w:rsid w:val="000638A0"/>
    <w:rsid w:val="0006398E"/>
    <w:rsid w:val="00063A34"/>
    <w:rsid w:val="00063E88"/>
    <w:rsid w:val="000642C3"/>
    <w:rsid w:val="0006440A"/>
    <w:rsid w:val="000647C7"/>
    <w:rsid w:val="000647F9"/>
    <w:rsid w:val="00064C24"/>
    <w:rsid w:val="0006589E"/>
    <w:rsid w:val="00065C3A"/>
    <w:rsid w:val="00065C3D"/>
    <w:rsid w:val="00065D0C"/>
    <w:rsid w:val="00065E30"/>
    <w:rsid w:val="000662AF"/>
    <w:rsid w:val="00066697"/>
    <w:rsid w:val="00066D9D"/>
    <w:rsid w:val="00066E37"/>
    <w:rsid w:val="00067EA1"/>
    <w:rsid w:val="00070F9D"/>
    <w:rsid w:val="00071077"/>
    <w:rsid w:val="0007137B"/>
    <w:rsid w:val="000714D9"/>
    <w:rsid w:val="00071BBD"/>
    <w:rsid w:val="0007298C"/>
    <w:rsid w:val="00072D07"/>
    <w:rsid w:val="00073109"/>
    <w:rsid w:val="00073161"/>
    <w:rsid w:val="00073BAC"/>
    <w:rsid w:val="00073FE7"/>
    <w:rsid w:val="0007437B"/>
    <w:rsid w:val="0007476E"/>
    <w:rsid w:val="00077996"/>
    <w:rsid w:val="00077E5C"/>
    <w:rsid w:val="000801BF"/>
    <w:rsid w:val="00080266"/>
    <w:rsid w:val="00080687"/>
    <w:rsid w:val="000806B8"/>
    <w:rsid w:val="000807ED"/>
    <w:rsid w:val="00080816"/>
    <w:rsid w:val="00080905"/>
    <w:rsid w:val="00080AD6"/>
    <w:rsid w:val="00080FAB"/>
    <w:rsid w:val="000812E8"/>
    <w:rsid w:val="0008131B"/>
    <w:rsid w:val="0008149C"/>
    <w:rsid w:val="000815EF"/>
    <w:rsid w:val="00081B0C"/>
    <w:rsid w:val="00081DE6"/>
    <w:rsid w:val="00081E96"/>
    <w:rsid w:val="00081FD7"/>
    <w:rsid w:val="00082241"/>
    <w:rsid w:val="00082280"/>
    <w:rsid w:val="000823DC"/>
    <w:rsid w:val="00082D57"/>
    <w:rsid w:val="0008377D"/>
    <w:rsid w:val="00084527"/>
    <w:rsid w:val="00084793"/>
    <w:rsid w:val="00084CB8"/>
    <w:rsid w:val="0008516E"/>
    <w:rsid w:val="000851E6"/>
    <w:rsid w:val="000852B5"/>
    <w:rsid w:val="000858DC"/>
    <w:rsid w:val="00085BA3"/>
    <w:rsid w:val="00085FB0"/>
    <w:rsid w:val="00085FD2"/>
    <w:rsid w:val="0008655C"/>
    <w:rsid w:val="00086726"/>
    <w:rsid w:val="00086FA0"/>
    <w:rsid w:val="00087E4A"/>
    <w:rsid w:val="000900E1"/>
    <w:rsid w:val="00090905"/>
    <w:rsid w:val="00091A52"/>
    <w:rsid w:val="00091FAD"/>
    <w:rsid w:val="00092565"/>
    <w:rsid w:val="00092993"/>
    <w:rsid w:val="00092A95"/>
    <w:rsid w:val="00092D1E"/>
    <w:rsid w:val="00092D68"/>
    <w:rsid w:val="00092E16"/>
    <w:rsid w:val="00093330"/>
    <w:rsid w:val="00093681"/>
    <w:rsid w:val="00093733"/>
    <w:rsid w:val="000937E6"/>
    <w:rsid w:val="00093820"/>
    <w:rsid w:val="00094607"/>
    <w:rsid w:val="00094C02"/>
    <w:rsid w:val="00095543"/>
    <w:rsid w:val="00095974"/>
    <w:rsid w:val="00095D4E"/>
    <w:rsid w:val="000963E9"/>
    <w:rsid w:val="00096542"/>
    <w:rsid w:val="0009684C"/>
    <w:rsid w:val="000972D0"/>
    <w:rsid w:val="00097AD4"/>
    <w:rsid w:val="00097BB6"/>
    <w:rsid w:val="00097CC8"/>
    <w:rsid w:val="000A03C5"/>
    <w:rsid w:val="000A04F5"/>
    <w:rsid w:val="000A08A8"/>
    <w:rsid w:val="000A0925"/>
    <w:rsid w:val="000A0BCA"/>
    <w:rsid w:val="000A0CC5"/>
    <w:rsid w:val="000A0F44"/>
    <w:rsid w:val="000A1109"/>
    <w:rsid w:val="000A1B9F"/>
    <w:rsid w:val="000A2035"/>
    <w:rsid w:val="000A23C1"/>
    <w:rsid w:val="000A23F0"/>
    <w:rsid w:val="000A25AB"/>
    <w:rsid w:val="000A265E"/>
    <w:rsid w:val="000A2680"/>
    <w:rsid w:val="000A28B3"/>
    <w:rsid w:val="000A2C5A"/>
    <w:rsid w:val="000A2DB4"/>
    <w:rsid w:val="000A3662"/>
    <w:rsid w:val="000A38DA"/>
    <w:rsid w:val="000A3B68"/>
    <w:rsid w:val="000A3F4D"/>
    <w:rsid w:val="000A4A47"/>
    <w:rsid w:val="000A58FA"/>
    <w:rsid w:val="000A5C68"/>
    <w:rsid w:val="000A5F72"/>
    <w:rsid w:val="000A607E"/>
    <w:rsid w:val="000A6863"/>
    <w:rsid w:val="000A74D7"/>
    <w:rsid w:val="000A7753"/>
    <w:rsid w:val="000A7A2C"/>
    <w:rsid w:val="000A7AAD"/>
    <w:rsid w:val="000B0145"/>
    <w:rsid w:val="000B0236"/>
    <w:rsid w:val="000B0BA9"/>
    <w:rsid w:val="000B0F74"/>
    <w:rsid w:val="000B1303"/>
    <w:rsid w:val="000B1390"/>
    <w:rsid w:val="000B1392"/>
    <w:rsid w:val="000B148E"/>
    <w:rsid w:val="000B1593"/>
    <w:rsid w:val="000B16C5"/>
    <w:rsid w:val="000B1DAF"/>
    <w:rsid w:val="000B1E77"/>
    <w:rsid w:val="000B262E"/>
    <w:rsid w:val="000B2764"/>
    <w:rsid w:val="000B28FD"/>
    <w:rsid w:val="000B2938"/>
    <w:rsid w:val="000B31F5"/>
    <w:rsid w:val="000B37AF"/>
    <w:rsid w:val="000B3BB2"/>
    <w:rsid w:val="000B3DF5"/>
    <w:rsid w:val="000B3FB3"/>
    <w:rsid w:val="000B40DC"/>
    <w:rsid w:val="000B470A"/>
    <w:rsid w:val="000B49CC"/>
    <w:rsid w:val="000B4A00"/>
    <w:rsid w:val="000B4A7C"/>
    <w:rsid w:val="000B4B82"/>
    <w:rsid w:val="000B4BE3"/>
    <w:rsid w:val="000B537C"/>
    <w:rsid w:val="000B5DAA"/>
    <w:rsid w:val="000B5EE4"/>
    <w:rsid w:val="000B6FC4"/>
    <w:rsid w:val="000B71CF"/>
    <w:rsid w:val="000B7383"/>
    <w:rsid w:val="000B7C39"/>
    <w:rsid w:val="000C022F"/>
    <w:rsid w:val="000C0DE6"/>
    <w:rsid w:val="000C107F"/>
    <w:rsid w:val="000C166A"/>
    <w:rsid w:val="000C1825"/>
    <w:rsid w:val="000C2474"/>
    <w:rsid w:val="000C2619"/>
    <w:rsid w:val="000C2A31"/>
    <w:rsid w:val="000C38A9"/>
    <w:rsid w:val="000C4EAB"/>
    <w:rsid w:val="000C5349"/>
    <w:rsid w:val="000C61C0"/>
    <w:rsid w:val="000C62D2"/>
    <w:rsid w:val="000C63F4"/>
    <w:rsid w:val="000C67E8"/>
    <w:rsid w:val="000C6825"/>
    <w:rsid w:val="000C68BB"/>
    <w:rsid w:val="000C6999"/>
    <w:rsid w:val="000C6DAD"/>
    <w:rsid w:val="000C794C"/>
    <w:rsid w:val="000C7A27"/>
    <w:rsid w:val="000C7DED"/>
    <w:rsid w:val="000D0218"/>
    <w:rsid w:val="000D07B5"/>
    <w:rsid w:val="000D0B4B"/>
    <w:rsid w:val="000D0F8D"/>
    <w:rsid w:val="000D15BF"/>
    <w:rsid w:val="000D168C"/>
    <w:rsid w:val="000D1777"/>
    <w:rsid w:val="000D1935"/>
    <w:rsid w:val="000D1CA1"/>
    <w:rsid w:val="000D1CD8"/>
    <w:rsid w:val="000D2394"/>
    <w:rsid w:val="000D2767"/>
    <w:rsid w:val="000D2DF2"/>
    <w:rsid w:val="000D2E90"/>
    <w:rsid w:val="000D31DE"/>
    <w:rsid w:val="000D35C4"/>
    <w:rsid w:val="000D3BBD"/>
    <w:rsid w:val="000D3FAC"/>
    <w:rsid w:val="000D6325"/>
    <w:rsid w:val="000D64CF"/>
    <w:rsid w:val="000D6972"/>
    <w:rsid w:val="000D6CD5"/>
    <w:rsid w:val="000D6DFE"/>
    <w:rsid w:val="000D74C5"/>
    <w:rsid w:val="000D772C"/>
    <w:rsid w:val="000D775F"/>
    <w:rsid w:val="000D780C"/>
    <w:rsid w:val="000D7E59"/>
    <w:rsid w:val="000D7EA9"/>
    <w:rsid w:val="000E0676"/>
    <w:rsid w:val="000E07AC"/>
    <w:rsid w:val="000E13AA"/>
    <w:rsid w:val="000E1718"/>
    <w:rsid w:val="000E1C80"/>
    <w:rsid w:val="000E1D0B"/>
    <w:rsid w:val="000E203E"/>
    <w:rsid w:val="000E2427"/>
    <w:rsid w:val="000E2556"/>
    <w:rsid w:val="000E2612"/>
    <w:rsid w:val="000E2BD6"/>
    <w:rsid w:val="000E2ED0"/>
    <w:rsid w:val="000E32B6"/>
    <w:rsid w:val="000E3365"/>
    <w:rsid w:val="000E3C2F"/>
    <w:rsid w:val="000E4F35"/>
    <w:rsid w:val="000E51CD"/>
    <w:rsid w:val="000E5389"/>
    <w:rsid w:val="000E58A1"/>
    <w:rsid w:val="000E5911"/>
    <w:rsid w:val="000E5D11"/>
    <w:rsid w:val="000E5D47"/>
    <w:rsid w:val="000E5D6C"/>
    <w:rsid w:val="000E5DA6"/>
    <w:rsid w:val="000E5DB4"/>
    <w:rsid w:val="000E5DF0"/>
    <w:rsid w:val="000E6075"/>
    <w:rsid w:val="000E631F"/>
    <w:rsid w:val="000E72C8"/>
    <w:rsid w:val="000E7361"/>
    <w:rsid w:val="000E7C93"/>
    <w:rsid w:val="000E7D01"/>
    <w:rsid w:val="000E7D4F"/>
    <w:rsid w:val="000F082F"/>
    <w:rsid w:val="000F1277"/>
    <w:rsid w:val="000F1889"/>
    <w:rsid w:val="000F1995"/>
    <w:rsid w:val="000F1D0D"/>
    <w:rsid w:val="000F2195"/>
    <w:rsid w:val="000F22ED"/>
    <w:rsid w:val="000F23AA"/>
    <w:rsid w:val="000F290B"/>
    <w:rsid w:val="000F2CD6"/>
    <w:rsid w:val="000F2CF4"/>
    <w:rsid w:val="000F2D20"/>
    <w:rsid w:val="000F30DF"/>
    <w:rsid w:val="000F33B5"/>
    <w:rsid w:val="000F3461"/>
    <w:rsid w:val="000F3A9F"/>
    <w:rsid w:val="000F4431"/>
    <w:rsid w:val="000F47AB"/>
    <w:rsid w:val="000F4C64"/>
    <w:rsid w:val="000F518A"/>
    <w:rsid w:val="000F53E0"/>
    <w:rsid w:val="000F5DEF"/>
    <w:rsid w:val="000F6A1A"/>
    <w:rsid w:val="000F6BD0"/>
    <w:rsid w:val="000F6D36"/>
    <w:rsid w:val="000F75BE"/>
    <w:rsid w:val="000F763C"/>
    <w:rsid w:val="000F7A57"/>
    <w:rsid w:val="0010032A"/>
    <w:rsid w:val="00100361"/>
    <w:rsid w:val="00100683"/>
    <w:rsid w:val="00100B2C"/>
    <w:rsid w:val="00100CD5"/>
    <w:rsid w:val="00100F5D"/>
    <w:rsid w:val="0010114C"/>
    <w:rsid w:val="00101721"/>
    <w:rsid w:val="00101A88"/>
    <w:rsid w:val="00101CF4"/>
    <w:rsid w:val="00101E31"/>
    <w:rsid w:val="00102E55"/>
    <w:rsid w:val="001031C3"/>
    <w:rsid w:val="00103352"/>
    <w:rsid w:val="001033B6"/>
    <w:rsid w:val="001034F2"/>
    <w:rsid w:val="00103E8B"/>
    <w:rsid w:val="001046DF"/>
    <w:rsid w:val="00104E14"/>
    <w:rsid w:val="00106979"/>
    <w:rsid w:val="00106BE0"/>
    <w:rsid w:val="00106C37"/>
    <w:rsid w:val="00106EA4"/>
    <w:rsid w:val="00106F8F"/>
    <w:rsid w:val="001071B1"/>
    <w:rsid w:val="001071E3"/>
    <w:rsid w:val="00107643"/>
    <w:rsid w:val="001078F6"/>
    <w:rsid w:val="00107A76"/>
    <w:rsid w:val="001103D0"/>
    <w:rsid w:val="001109E1"/>
    <w:rsid w:val="001111DE"/>
    <w:rsid w:val="001114DA"/>
    <w:rsid w:val="00111726"/>
    <w:rsid w:val="0011177F"/>
    <w:rsid w:val="00112C72"/>
    <w:rsid w:val="00112CD1"/>
    <w:rsid w:val="00112D11"/>
    <w:rsid w:val="0011304C"/>
    <w:rsid w:val="001136AE"/>
    <w:rsid w:val="00113B06"/>
    <w:rsid w:val="00113EBB"/>
    <w:rsid w:val="00113EC2"/>
    <w:rsid w:val="001147D8"/>
    <w:rsid w:val="00114FC8"/>
    <w:rsid w:val="00115471"/>
    <w:rsid w:val="00115594"/>
    <w:rsid w:val="001155DB"/>
    <w:rsid w:val="00115734"/>
    <w:rsid w:val="001158FA"/>
    <w:rsid w:val="00115CFE"/>
    <w:rsid w:val="00115D19"/>
    <w:rsid w:val="001165A7"/>
    <w:rsid w:val="001165DE"/>
    <w:rsid w:val="0011679A"/>
    <w:rsid w:val="00116B1E"/>
    <w:rsid w:val="001170E9"/>
    <w:rsid w:val="00120363"/>
    <w:rsid w:val="00120AFE"/>
    <w:rsid w:val="00120EB5"/>
    <w:rsid w:val="0012116F"/>
    <w:rsid w:val="00122058"/>
    <w:rsid w:val="00122106"/>
    <w:rsid w:val="001226EF"/>
    <w:rsid w:val="00122C6F"/>
    <w:rsid w:val="00122E1A"/>
    <w:rsid w:val="001231C6"/>
    <w:rsid w:val="0012389E"/>
    <w:rsid w:val="001239AF"/>
    <w:rsid w:val="00123C78"/>
    <w:rsid w:val="001252F8"/>
    <w:rsid w:val="001254D3"/>
    <w:rsid w:val="001259DF"/>
    <w:rsid w:val="00125A3E"/>
    <w:rsid w:val="00125DC2"/>
    <w:rsid w:val="001267F7"/>
    <w:rsid w:val="00127121"/>
    <w:rsid w:val="00127A83"/>
    <w:rsid w:val="00127BB3"/>
    <w:rsid w:val="00130202"/>
    <w:rsid w:val="001302A9"/>
    <w:rsid w:val="00130D4F"/>
    <w:rsid w:val="00130E2A"/>
    <w:rsid w:val="00131000"/>
    <w:rsid w:val="00131486"/>
    <w:rsid w:val="0013219A"/>
    <w:rsid w:val="001325DB"/>
    <w:rsid w:val="001336AE"/>
    <w:rsid w:val="001337C3"/>
    <w:rsid w:val="00133F8B"/>
    <w:rsid w:val="0013490C"/>
    <w:rsid w:val="00134C66"/>
    <w:rsid w:val="00135691"/>
    <w:rsid w:val="00135709"/>
    <w:rsid w:val="001357A4"/>
    <w:rsid w:val="00135C40"/>
    <w:rsid w:val="00135CEC"/>
    <w:rsid w:val="00135E17"/>
    <w:rsid w:val="00136132"/>
    <w:rsid w:val="00136856"/>
    <w:rsid w:val="00136BAE"/>
    <w:rsid w:val="00136BED"/>
    <w:rsid w:val="001370F0"/>
    <w:rsid w:val="00137573"/>
    <w:rsid w:val="00137994"/>
    <w:rsid w:val="00137F3F"/>
    <w:rsid w:val="00140798"/>
    <w:rsid w:val="00141559"/>
    <w:rsid w:val="00141848"/>
    <w:rsid w:val="00141E80"/>
    <w:rsid w:val="00142323"/>
    <w:rsid w:val="001424FB"/>
    <w:rsid w:val="00142575"/>
    <w:rsid w:val="001425D7"/>
    <w:rsid w:val="00142693"/>
    <w:rsid w:val="00143C09"/>
    <w:rsid w:val="00143E61"/>
    <w:rsid w:val="00144242"/>
    <w:rsid w:val="00145567"/>
    <w:rsid w:val="001457FD"/>
    <w:rsid w:val="00145E3F"/>
    <w:rsid w:val="00146548"/>
    <w:rsid w:val="001465A5"/>
    <w:rsid w:val="00146893"/>
    <w:rsid w:val="001469B9"/>
    <w:rsid w:val="001469F1"/>
    <w:rsid w:val="00147002"/>
    <w:rsid w:val="001470A4"/>
    <w:rsid w:val="00147A32"/>
    <w:rsid w:val="00147AA2"/>
    <w:rsid w:val="00147B5D"/>
    <w:rsid w:val="00147CB9"/>
    <w:rsid w:val="00147FB6"/>
    <w:rsid w:val="00147FE4"/>
    <w:rsid w:val="00150C6F"/>
    <w:rsid w:val="001514DC"/>
    <w:rsid w:val="001516B7"/>
    <w:rsid w:val="001518C2"/>
    <w:rsid w:val="00151A3C"/>
    <w:rsid w:val="0015391A"/>
    <w:rsid w:val="00153C2C"/>
    <w:rsid w:val="0015415F"/>
    <w:rsid w:val="00154379"/>
    <w:rsid w:val="00154445"/>
    <w:rsid w:val="0015458F"/>
    <w:rsid w:val="00154D5B"/>
    <w:rsid w:val="0015568E"/>
    <w:rsid w:val="001557B9"/>
    <w:rsid w:val="00156891"/>
    <w:rsid w:val="00156DFE"/>
    <w:rsid w:val="0015751C"/>
    <w:rsid w:val="00157D8C"/>
    <w:rsid w:val="0016001F"/>
    <w:rsid w:val="00160209"/>
    <w:rsid w:val="001602FE"/>
    <w:rsid w:val="0016044E"/>
    <w:rsid w:val="00160D36"/>
    <w:rsid w:val="00161170"/>
    <w:rsid w:val="001611E4"/>
    <w:rsid w:val="00161EAE"/>
    <w:rsid w:val="00161EE8"/>
    <w:rsid w:val="0016219E"/>
    <w:rsid w:val="001624FF"/>
    <w:rsid w:val="00162DC0"/>
    <w:rsid w:val="00163179"/>
    <w:rsid w:val="00163810"/>
    <w:rsid w:val="00163A39"/>
    <w:rsid w:val="0016422B"/>
    <w:rsid w:val="0016592A"/>
    <w:rsid w:val="00166056"/>
    <w:rsid w:val="00166DCE"/>
    <w:rsid w:val="00167570"/>
    <w:rsid w:val="001675CB"/>
    <w:rsid w:val="00167C56"/>
    <w:rsid w:val="00170927"/>
    <w:rsid w:val="00171086"/>
    <w:rsid w:val="00171882"/>
    <w:rsid w:val="001720F3"/>
    <w:rsid w:val="00172F30"/>
    <w:rsid w:val="00173149"/>
    <w:rsid w:val="00173A21"/>
    <w:rsid w:val="00173C77"/>
    <w:rsid w:val="00173D87"/>
    <w:rsid w:val="001747E6"/>
    <w:rsid w:val="00174D96"/>
    <w:rsid w:val="001754F0"/>
    <w:rsid w:val="00175D4E"/>
    <w:rsid w:val="00175FD5"/>
    <w:rsid w:val="001761DC"/>
    <w:rsid w:val="00176329"/>
    <w:rsid w:val="0017641C"/>
    <w:rsid w:val="0017661B"/>
    <w:rsid w:val="00176BB1"/>
    <w:rsid w:val="001772E3"/>
    <w:rsid w:val="0017794F"/>
    <w:rsid w:val="00177C61"/>
    <w:rsid w:val="00177C63"/>
    <w:rsid w:val="00177CCE"/>
    <w:rsid w:val="001802F0"/>
    <w:rsid w:val="001803CB"/>
    <w:rsid w:val="0018082A"/>
    <w:rsid w:val="00180966"/>
    <w:rsid w:val="0018096A"/>
    <w:rsid w:val="00180B97"/>
    <w:rsid w:val="00180F23"/>
    <w:rsid w:val="00181222"/>
    <w:rsid w:val="00181908"/>
    <w:rsid w:val="001819A8"/>
    <w:rsid w:val="00182072"/>
    <w:rsid w:val="001821C9"/>
    <w:rsid w:val="001825C9"/>
    <w:rsid w:val="001827A7"/>
    <w:rsid w:val="00182C0F"/>
    <w:rsid w:val="00182CCD"/>
    <w:rsid w:val="00183205"/>
    <w:rsid w:val="00183C32"/>
    <w:rsid w:val="0018408E"/>
    <w:rsid w:val="00184637"/>
    <w:rsid w:val="00184880"/>
    <w:rsid w:val="00184B63"/>
    <w:rsid w:val="001856AF"/>
    <w:rsid w:val="00185AF4"/>
    <w:rsid w:val="00186775"/>
    <w:rsid w:val="00187374"/>
    <w:rsid w:val="00187C46"/>
    <w:rsid w:val="00187D92"/>
    <w:rsid w:val="00187F02"/>
    <w:rsid w:val="001906BB"/>
    <w:rsid w:val="00190A98"/>
    <w:rsid w:val="00191722"/>
    <w:rsid w:val="00191BC5"/>
    <w:rsid w:val="00191E78"/>
    <w:rsid w:val="00191F20"/>
    <w:rsid w:val="0019222D"/>
    <w:rsid w:val="00192CDF"/>
    <w:rsid w:val="001931FC"/>
    <w:rsid w:val="0019324B"/>
    <w:rsid w:val="001933AA"/>
    <w:rsid w:val="00193734"/>
    <w:rsid w:val="00193DFF"/>
    <w:rsid w:val="00194338"/>
    <w:rsid w:val="00194B7C"/>
    <w:rsid w:val="00194E3E"/>
    <w:rsid w:val="001950B7"/>
    <w:rsid w:val="001953FB"/>
    <w:rsid w:val="00195ED0"/>
    <w:rsid w:val="00196516"/>
    <w:rsid w:val="00196D21"/>
    <w:rsid w:val="00197EB3"/>
    <w:rsid w:val="001A084F"/>
    <w:rsid w:val="001A0EE2"/>
    <w:rsid w:val="001A0F34"/>
    <w:rsid w:val="001A1A00"/>
    <w:rsid w:val="001A2059"/>
    <w:rsid w:val="001A3F06"/>
    <w:rsid w:val="001A3FD4"/>
    <w:rsid w:val="001A4243"/>
    <w:rsid w:val="001A4347"/>
    <w:rsid w:val="001A45CD"/>
    <w:rsid w:val="001A4746"/>
    <w:rsid w:val="001A49B7"/>
    <w:rsid w:val="001A5430"/>
    <w:rsid w:val="001A56CF"/>
    <w:rsid w:val="001A5708"/>
    <w:rsid w:val="001A57E8"/>
    <w:rsid w:val="001A59BD"/>
    <w:rsid w:val="001A5ADE"/>
    <w:rsid w:val="001A5E4C"/>
    <w:rsid w:val="001A5ECE"/>
    <w:rsid w:val="001A6433"/>
    <w:rsid w:val="001A6C57"/>
    <w:rsid w:val="001A6DF8"/>
    <w:rsid w:val="001A6FD4"/>
    <w:rsid w:val="001A706C"/>
    <w:rsid w:val="001A7122"/>
    <w:rsid w:val="001A7604"/>
    <w:rsid w:val="001A7B69"/>
    <w:rsid w:val="001A7C33"/>
    <w:rsid w:val="001B0132"/>
    <w:rsid w:val="001B0384"/>
    <w:rsid w:val="001B0F54"/>
    <w:rsid w:val="001B0F69"/>
    <w:rsid w:val="001B0FD3"/>
    <w:rsid w:val="001B111C"/>
    <w:rsid w:val="001B1439"/>
    <w:rsid w:val="001B21E6"/>
    <w:rsid w:val="001B2313"/>
    <w:rsid w:val="001B38FC"/>
    <w:rsid w:val="001B40EE"/>
    <w:rsid w:val="001B42C4"/>
    <w:rsid w:val="001B4477"/>
    <w:rsid w:val="001B4485"/>
    <w:rsid w:val="001B5098"/>
    <w:rsid w:val="001B5356"/>
    <w:rsid w:val="001B538C"/>
    <w:rsid w:val="001B59A7"/>
    <w:rsid w:val="001B5EB0"/>
    <w:rsid w:val="001B617D"/>
    <w:rsid w:val="001B61F6"/>
    <w:rsid w:val="001B65B2"/>
    <w:rsid w:val="001B66DC"/>
    <w:rsid w:val="001B6BE1"/>
    <w:rsid w:val="001B7206"/>
    <w:rsid w:val="001B7812"/>
    <w:rsid w:val="001B7997"/>
    <w:rsid w:val="001B7B4B"/>
    <w:rsid w:val="001B7B5A"/>
    <w:rsid w:val="001B7CB7"/>
    <w:rsid w:val="001B7D53"/>
    <w:rsid w:val="001C0392"/>
    <w:rsid w:val="001C06DA"/>
    <w:rsid w:val="001C0D94"/>
    <w:rsid w:val="001C0FAC"/>
    <w:rsid w:val="001C109E"/>
    <w:rsid w:val="001C11B5"/>
    <w:rsid w:val="001C1694"/>
    <w:rsid w:val="001C26E8"/>
    <w:rsid w:val="001C297F"/>
    <w:rsid w:val="001C3417"/>
    <w:rsid w:val="001C356C"/>
    <w:rsid w:val="001C3AEF"/>
    <w:rsid w:val="001C3CB6"/>
    <w:rsid w:val="001C43B5"/>
    <w:rsid w:val="001C5607"/>
    <w:rsid w:val="001C5C11"/>
    <w:rsid w:val="001C67A5"/>
    <w:rsid w:val="001C6BC4"/>
    <w:rsid w:val="001C6D02"/>
    <w:rsid w:val="001C6DE2"/>
    <w:rsid w:val="001C700E"/>
    <w:rsid w:val="001C70F4"/>
    <w:rsid w:val="001C747C"/>
    <w:rsid w:val="001C7550"/>
    <w:rsid w:val="001C78D1"/>
    <w:rsid w:val="001C79CC"/>
    <w:rsid w:val="001D0C27"/>
    <w:rsid w:val="001D1168"/>
    <w:rsid w:val="001D1DC6"/>
    <w:rsid w:val="001D2383"/>
    <w:rsid w:val="001D23D5"/>
    <w:rsid w:val="001D2542"/>
    <w:rsid w:val="001D2CB4"/>
    <w:rsid w:val="001D33DA"/>
    <w:rsid w:val="001D3779"/>
    <w:rsid w:val="001D3F56"/>
    <w:rsid w:val="001D4222"/>
    <w:rsid w:val="001D423C"/>
    <w:rsid w:val="001D4874"/>
    <w:rsid w:val="001D4895"/>
    <w:rsid w:val="001D4B02"/>
    <w:rsid w:val="001D4DD6"/>
    <w:rsid w:val="001D5443"/>
    <w:rsid w:val="001D58DC"/>
    <w:rsid w:val="001D5F37"/>
    <w:rsid w:val="001D6142"/>
    <w:rsid w:val="001D6369"/>
    <w:rsid w:val="001D64C9"/>
    <w:rsid w:val="001D6CB4"/>
    <w:rsid w:val="001D7096"/>
    <w:rsid w:val="001D70AB"/>
    <w:rsid w:val="001D79BF"/>
    <w:rsid w:val="001E050C"/>
    <w:rsid w:val="001E108C"/>
    <w:rsid w:val="001E10A0"/>
    <w:rsid w:val="001E10AA"/>
    <w:rsid w:val="001E1320"/>
    <w:rsid w:val="001E141D"/>
    <w:rsid w:val="001E14CE"/>
    <w:rsid w:val="001E1592"/>
    <w:rsid w:val="001E18E2"/>
    <w:rsid w:val="001E1953"/>
    <w:rsid w:val="001E1ACB"/>
    <w:rsid w:val="001E2190"/>
    <w:rsid w:val="001E2261"/>
    <w:rsid w:val="001E237E"/>
    <w:rsid w:val="001E24C3"/>
    <w:rsid w:val="001E257C"/>
    <w:rsid w:val="001E29FD"/>
    <w:rsid w:val="001E2B2C"/>
    <w:rsid w:val="001E302A"/>
    <w:rsid w:val="001E30C9"/>
    <w:rsid w:val="001E38C2"/>
    <w:rsid w:val="001E504C"/>
    <w:rsid w:val="001E58BC"/>
    <w:rsid w:val="001E59B6"/>
    <w:rsid w:val="001E5D22"/>
    <w:rsid w:val="001E6196"/>
    <w:rsid w:val="001E6EBE"/>
    <w:rsid w:val="001E7316"/>
    <w:rsid w:val="001F06F6"/>
    <w:rsid w:val="001F0A03"/>
    <w:rsid w:val="001F0D9F"/>
    <w:rsid w:val="001F0E98"/>
    <w:rsid w:val="001F132E"/>
    <w:rsid w:val="001F13F5"/>
    <w:rsid w:val="001F180B"/>
    <w:rsid w:val="001F1DAD"/>
    <w:rsid w:val="001F2012"/>
    <w:rsid w:val="001F275B"/>
    <w:rsid w:val="001F31F7"/>
    <w:rsid w:val="001F3795"/>
    <w:rsid w:val="001F3E65"/>
    <w:rsid w:val="001F48E2"/>
    <w:rsid w:val="001F4EFE"/>
    <w:rsid w:val="001F57E3"/>
    <w:rsid w:val="001F5B58"/>
    <w:rsid w:val="001F6059"/>
    <w:rsid w:val="001F6A4A"/>
    <w:rsid w:val="001F737C"/>
    <w:rsid w:val="001F73CE"/>
    <w:rsid w:val="001F7779"/>
    <w:rsid w:val="001F7978"/>
    <w:rsid w:val="001F7A10"/>
    <w:rsid w:val="001F7A9E"/>
    <w:rsid w:val="00200527"/>
    <w:rsid w:val="00201240"/>
    <w:rsid w:val="0020139E"/>
    <w:rsid w:val="00201BA5"/>
    <w:rsid w:val="0020271E"/>
    <w:rsid w:val="00202DB5"/>
    <w:rsid w:val="00202DEB"/>
    <w:rsid w:val="00202E56"/>
    <w:rsid w:val="00203D62"/>
    <w:rsid w:val="00203E9F"/>
    <w:rsid w:val="00204087"/>
    <w:rsid w:val="0020462F"/>
    <w:rsid w:val="00204762"/>
    <w:rsid w:val="00204A9E"/>
    <w:rsid w:val="00205082"/>
    <w:rsid w:val="002051E6"/>
    <w:rsid w:val="0020560F"/>
    <w:rsid w:val="00205F44"/>
    <w:rsid w:val="0020638A"/>
    <w:rsid w:val="0020658C"/>
    <w:rsid w:val="002066DD"/>
    <w:rsid w:val="00206B08"/>
    <w:rsid w:val="00207447"/>
    <w:rsid w:val="002076FE"/>
    <w:rsid w:val="002077FD"/>
    <w:rsid w:val="00207891"/>
    <w:rsid w:val="002078F1"/>
    <w:rsid w:val="00207CE2"/>
    <w:rsid w:val="00207CFF"/>
    <w:rsid w:val="00207EDC"/>
    <w:rsid w:val="0021027F"/>
    <w:rsid w:val="0021053E"/>
    <w:rsid w:val="00210A10"/>
    <w:rsid w:val="002110BC"/>
    <w:rsid w:val="0021113A"/>
    <w:rsid w:val="0021117B"/>
    <w:rsid w:val="00211218"/>
    <w:rsid w:val="0021121D"/>
    <w:rsid w:val="0021165A"/>
    <w:rsid w:val="00211865"/>
    <w:rsid w:val="00211FC9"/>
    <w:rsid w:val="0021204A"/>
    <w:rsid w:val="0021216D"/>
    <w:rsid w:val="00212AFA"/>
    <w:rsid w:val="00212FC2"/>
    <w:rsid w:val="0021302A"/>
    <w:rsid w:val="00213D6B"/>
    <w:rsid w:val="00214086"/>
    <w:rsid w:val="002141F3"/>
    <w:rsid w:val="00214425"/>
    <w:rsid w:val="00214707"/>
    <w:rsid w:val="002148D9"/>
    <w:rsid w:val="00214D21"/>
    <w:rsid w:val="00214E5D"/>
    <w:rsid w:val="00215084"/>
    <w:rsid w:val="002150BE"/>
    <w:rsid w:val="0021532F"/>
    <w:rsid w:val="002161AB"/>
    <w:rsid w:val="00216479"/>
    <w:rsid w:val="002170CA"/>
    <w:rsid w:val="00217541"/>
    <w:rsid w:val="0021794E"/>
    <w:rsid w:val="00217EAF"/>
    <w:rsid w:val="002208E7"/>
    <w:rsid w:val="00220911"/>
    <w:rsid w:val="0022195F"/>
    <w:rsid w:val="002220BC"/>
    <w:rsid w:val="00222411"/>
    <w:rsid w:val="00222690"/>
    <w:rsid w:val="002254FC"/>
    <w:rsid w:val="0022562B"/>
    <w:rsid w:val="0022611D"/>
    <w:rsid w:val="002261D4"/>
    <w:rsid w:val="002263E9"/>
    <w:rsid w:val="00226858"/>
    <w:rsid w:val="002268A7"/>
    <w:rsid w:val="002269B6"/>
    <w:rsid w:val="00226B98"/>
    <w:rsid w:val="00227040"/>
    <w:rsid w:val="002271C8"/>
    <w:rsid w:val="002278CC"/>
    <w:rsid w:val="00227C6A"/>
    <w:rsid w:val="00227DAD"/>
    <w:rsid w:val="0023006F"/>
    <w:rsid w:val="002300E4"/>
    <w:rsid w:val="00230135"/>
    <w:rsid w:val="00230679"/>
    <w:rsid w:val="0023075E"/>
    <w:rsid w:val="002307B1"/>
    <w:rsid w:val="00230D95"/>
    <w:rsid w:val="00231176"/>
    <w:rsid w:val="002316B6"/>
    <w:rsid w:val="00231DEA"/>
    <w:rsid w:val="00232D8B"/>
    <w:rsid w:val="00232FF1"/>
    <w:rsid w:val="00233096"/>
    <w:rsid w:val="002337A9"/>
    <w:rsid w:val="00234296"/>
    <w:rsid w:val="00234A4F"/>
    <w:rsid w:val="00234E13"/>
    <w:rsid w:val="00234FBA"/>
    <w:rsid w:val="0023592C"/>
    <w:rsid w:val="00235A7E"/>
    <w:rsid w:val="00235B2C"/>
    <w:rsid w:val="00236077"/>
    <w:rsid w:val="00236F48"/>
    <w:rsid w:val="002370E3"/>
    <w:rsid w:val="00237BA9"/>
    <w:rsid w:val="00237ED9"/>
    <w:rsid w:val="002403BF"/>
    <w:rsid w:val="002416A8"/>
    <w:rsid w:val="00241D1D"/>
    <w:rsid w:val="002421C0"/>
    <w:rsid w:val="002423DF"/>
    <w:rsid w:val="002434A6"/>
    <w:rsid w:val="00243C71"/>
    <w:rsid w:val="00243F51"/>
    <w:rsid w:val="002443B2"/>
    <w:rsid w:val="00244767"/>
    <w:rsid w:val="0024507E"/>
    <w:rsid w:val="00245171"/>
    <w:rsid w:val="0024697C"/>
    <w:rsid w:val="00246B2D"/>
    <w:rsid w:val="00246CC0"/>
    <w:rsid w:val="00246E8A"/>
    <w:rsid w:val="00247A18"/>
    <w:rsid w:val="00247C81"/>
    <w:rsid w:val="00247CC1"/>
    <w:rsid w:val="002506C9"/>
    <w:rsid w:val="00250717"/>
    <w:rsid w:val="002507E3"/>
    <w:rsid w:val="00250EAB"/>
    <w:rsid w:val="00250FDB"/>
    <w:rsid w:val="00251132"/>
    <w:rsid w:val="00252187"/>
    <w:rsid w:val="002523DE"/>
    <w:rsid w:val="00252761"/>
    <w:rsid w:val="00252A04"/>
    <w:rsid w:val="00252E32"/>
    <w:rsid w:val="00253370"/>
    <w:rsid w:val="002535C5"/>
    <w:rsid w:val="00253A1D"/>
    <w:rsid w:val="00254329"/>
    <w:rsid w:val="00254FB8"/>
    <w:rsid w:val="002554DC"/>
    <w:rsid w:val="00255559"/>
    <w:rsid w:val="00255947"/>
    <w:rsid w:val="00255D3D"/>
    <w:rsid w:val="00256603"/>
    <w:rsid w:val="00256C90"/>
    <w:rsid w:val="0025726A"/>
    <w:rsid w:val="002574C1"/>
    <w:rsid w:val="002575BD"/>
    <w:rsid w:val="00257E8F"/>
    <w:rsid w:val="002603CA"/>
    <w:rsid w:val="0026059B"/>
    <w:rsid w:val="00260D2A"/>
    <w:rsid w:val="002613ED"/>
    <w:rsid w:val="002615A1"/>
    <w:rsid w:val="00261617"/>
    <w:rsid w:val="00261640"/>
    <w:rsid w:val="00261FA7"/>
    <w:rsid w:val="0026201B"/>
    <w:rsid w:val="0026213E"/>
    <w:rsid w:val="0026333A"/>
    <w:rsid w:val="002634D2"/>
    <w:rsid w:val="00263550"/>
    <w:rsid w:val="0026456E"/>
    <w:rsid w:val="002658B9"/>
    <w:rsid w:val="002659A3"/>
    <w:rsid w:val="002663F6"/>
    <w:rsid w:val="00266414"/>
    <w:rsid w:val="00266A70"/>
    <w:rsid w:val="00266B0D"/>
    <w:rsid w:val="00266BBB"/>
    <w:rsid w:val="00266BE7"/>
    <w:rsid w:val="0026704D"/>
    <w:rsid w:val="00267C4F"/>
    <w:rsid w:val="00270036"/>
    <w:rsid w:val="002703CA"/>
    <w:rsid w:val="00270447"/>
    <w:rsid w:val="00270594"/>
    <w:rsid w:val="00270822"/>
    <w:rsid w:val="00270BF5"/>
    <w:rsid w:val="00270C0F"/>
    <w:rsid w:val="00270F4C"/>
    <w:rsid w:val="0027137A"/>
    <w:rsid w:val="002714B0"/>
    <w:rsid w:val="0027168B"/>
    <w:rsid w:val="0027195E"/>
    <w:rsid w:val="00271C0E"/>
    <w:rsid w:val="00271EB5"/>
    <w:rsid w:val="0027242E"/>
    <w:rsid w:val="00272522"/>
    <w:rsid w:val="00272D6E"/>
    <w:rsid w:val="00272DBE"/>
    <w:rsid w:val="00273078"/>
    <w:rsid w:val="002731EA"/>
    <w:rsid w:val="002733A0"/>
    <w:rsid w:val="00273759"/>
    <w:rsid w:val="00274662"/>
    <w:rsid w:val="00274958"/>
    <w:rsid w:val="00274D26"/>
    <w:rsid w:val="00275D97"/>
    <w:rsid w:val="00275F3F"/>
    <w:rsid w:val="0027693E"/>
    <w:rsid w:val="00276969"/>
    <w:rsid w:val="00276B74"/>
    <w:rsid w:val="00276F25"/>
    <w:rsid w:val="00277161"/>
    <w:rsid w:val="00277A44"/>
    <w:rsid w:val="00277CC1"/>
    <w:rsid w:val="002800F5"/>
    <w:rsid w:val="00280439"/>
    <w:rsid w:val="0028083D"/>
    <w:rsid w:val="002810CF"/>
    <w:rsid w:val="00281282"/>
    <w:rsid w:val="0028136D"/>
    <w:rsid w:val="00281635"/>
    <w:rsid w:val="002823C2"/>
    <w:rsid w:val="00282538"/>
    <w:rsid w:val="00283352"/>
    <w:rsid w:val="00283372"/>
    <w:rsid w:val="00283D0E"/>
    <w:rsid w:val="00283E61"/>
    <w:rsid w:val="0028420E"/>
    <w:rsid w:val="0028489C"/>
    <w:rsid w:val="00284A19"/>
    <w:rsid w:val="00284C48"/>
    <w:rsid w:val="002851CA"/>
    <w:rsid w:val="00285740"/>
    <w:rsid w:val="0028585A"/>
    <w:rsid w:val="00285A9C"/>
    <w:rsid w:val="002861A7"/>
    <w:rsid w:val="00286319"/>
    <w:rsid w:val="0028687B"/>
    <w:rsid w:val="00286CD3"/>
    <w:rsid w:val="00287472"/>
    <w:rsid w:val="0028767D"/>
    <w:rsid w:val="002903EE"/>
    <w:rsid w:val="00290AC8"/>
    <w:rsid w:val="00290C97"/>
    <w:rsid w:val="00290FE9"/>
    <w:rsid w:val="002912EF"/>
    <w:rsid w:val="0029144F"/>
    <w:rsid w:val="002914F3"/>
    <w:rsid w:val="00291911"/>
    <w:rsid w:val="00291D48"/>
    <w:rsid w:val="00292384"/>
    <w:rsid w:val="002927E9"/>
    <w:rsid w:val="00292AD3"/>
    <w:rsid w:val="002932FF"/>
    <w:rsid w:val="0029349C"/>
    <w:rsid w:val="0029385D"/>
    <w:rsid w:val="00293CDA"/>
    <w:rsid w:val="00293D3E"/>
    <w:rsid w:val="00294325"/>
    <w:rsid w:val="002943EB"/>
    <w:rsid w:val="00294480"/>
    <w:rsid w:val="00294A67"/>
    <w:rsid w:val="00294D11"/>
    <w:rsid w:val="00295738"/>
    <w:rsid w:val="00295BC8"/>
    <w:rsid w:val="00295CF3"/>
    <w:rsid w:val="00295F9C"/>
    <w:rsid w:val="00296694"/>
    <w:rsid w:val="00296891"/>
    <w:rsid w:val="0029694E"/>
    <w:rsid w:val="00296B5C"/>
    <w:rsid w:val="00296F17"/>
    <w:rsid w:val="00297614"/>
    <w:rsid w:val="002A0127"/>
    <w:rsid w:val="002A02D3"/>
    <w:rsid w:val="002A1678"/>
    <w:rsid w:val="002A1796"/>
    <w:rsid w:val="002A19DE"/>
    <w:rsid w:val="002A2194"/>
    <w:rsid w:val="002A225B"/>
    <w:rsid w:val="002A2871"/>
    <w:rsid w:val="002A3D61"/>
    <w:rsid w:val="002A4347"/>
    <w:rsid w:val="002A473E"/>
    <w:rsid w:val="002A4CF8"/>
    <w:rsid w:val="002A50CC"/>
    <w:rsid w:val="002A5140"/>
    <w:rsid w:val="002A6380"/>
    <w:rsid w:val="002A6416"/>
    <w:rsid w:val="002A64D4"/>
    <w:rsid w:val="002A66DA"/>
    <w:rsid w:val="002A687B"/>
    <w:rsid w:val="002A71E0"/>
    <w:rsid w:val="002A71E6"/>
    <w:rsid w:val="002A76C8"/>
    <w:rsid w:val="002A7850"/>
    <w:rsid w:val="002A7AD7"/>
    <w:rsid w:val="002A7B49"/>
    <w:rsid w:val="002B04DD"/>
    <w:rsid w:val="002B0BA7"/>
    <w:rsid w:val="002B0DFA"/>
    <w:rsid w:val="002B0E30"/>
    <w:rsid w:val="002B0EB2"/>
    <w:rsid w:val="002B20A5"/>
    <w:rsid w:val="002B262B"/>
    <w:rsid w:val="002B28C0"/>
    <w:rsid w:val="002B295F"/>
    <w:rsid w:val="002B3425"/>
    <w:rsid w:val="002B3C61"/>
    <w:rsid w:val="002B4174"/>
    <w:rsid w:val="002B4266"/>
    <w:rsid w:val="002B4531"/>
    <w:rsid w:val="002B4786"/>
    <w:rsid w:val="002B5493"/>
    <w:rsid w:val="002B56FF"/>
    <w:rsid w:val="002B62B1"/>
    <w:rsid w:val="002B639B"/>
    <w:rsid w:val="002B6D6F"/>
    <w:rsid w:val="002B70E8"/>
    <w:rsid w:val="002B73B0"/>
    <w:rsid w:val="002B7942"/>
    <w:rsid w:val="002B7A23"/>
    <w:rsid w:val="002C0A98"/>
    <w:rsid w:val="002C11CB"/>
    <w:rsid w:val="002C2283"/>
    <w:rsid w:val="002C22D4"/>
    <w:rsid w:val="002C255E"/>
    <w:rsid w:val="002C2BA0"/>
    <w:rsid w:val="002C2BC6"/>
    <w:rsid w:val="002C2D76"/>
    <w:rsid w:val="002C2E8A"/>
    <w:rsid w:val="002C3064"/>
    <w:rsid w:val="002C36D9"/>
    <w:rsid w:val="002C3B30"/>
    <w:rsid w:val="002C55E0"/>
    <w:rsid w:val="002C6B61"/>
    <w:rsid w:val="002C6CCF"/>
    <w:rsid w:val="002C6E69"/>
    <w:rsid w:val="002C6FEB"/>
    <w:rsid w:val="002C70EA"/>
    <w:rsid w:val="002C75CF"/>
    <w:rsid w:val="002C7BB6"/>
    <w:rsid w:val="002C7BBE"/>
    <w:rsid w:val="002C7E0E"/>
    <w:rsid w:val="002D0053"/>
    <w:rsid w:val="002D051D"/>
    <w:rsid w:val="002D0672"/>
    <w:rsid w:val="002D0793"/>
    <w:rsid w:val="002D0E2A"/>
    <w:rsid w:val="002D1030"/>
    <w:rsid w:val="002D1273"/>
    <w:rsid w:val="002D177E"/>
    <w:rsid w:val="002D193A"/>
    <w:rsid w:val="002D19E1"/>
    <w:rsid w:val="002D22BB"/>
    <w:rsid w:val="002D273A"/>
    <w:rsid w:val="002D2BAA"/>
    <w:rsid w:val="002D2D91"/>
    <w:rsid w:val="002D3001"/>
    <w:rsid w:val="002D34D6"/>
    <w:rsid w:val="002D375C"/>
    <w:rsid w:val="002D3BAA"/>
    <w:rsid w:val="002D3E94"/>
    <w:rsid w:val="002D3F17"/>
    <w:rsid w:val="002D49E7"/>
    <w:rsid w:val="002D4E71"/>
    <w:rsid w:val="002D4EEA"/>
    <w:rsid w:val="002D4EFB"/>
    <w:rsid w:val="002D4F22"/>
    <w:rsid w:val="002D4F49"/>
    <w:rsid w:val="002D502C"/>
    <w:rsid w:val="002D570A"/>
    <w:rsid w:val="002D5902"/>
    <w:rsid w:val="002D5C9F"/>
    <w:rsid w:val="002D6273"/>
    <w:rsid w:val="002D6E10"/>
    <w:rsid w:val="002D6ECF"/>
    <w:rsid w:val="002D7031"/>
    <w:rsid w:val="002E05C2"/>
    <w:rsid w:val="002E076A"/>
    <w:rsid w:val="002E0A8F"/>
    <w:rsid w:val="002E0CF4"/>
    <w:rsid w:val="002E115C"/>
    <w:rsid w:val="002E14B0"/>
    <w:rsid w:val="002E19F5"/>
    <w:rsid w:val="002E1E02"/>
    <w:rsid w:val="002E2D6C"/>
    <w:rsid w:val="002E3F27"/>
    <w:rsid w:val="002E3FDD"/>
    <w:rsid w:val="002E43F9"/>
    <w:rsid w:val="002E44BE"/>
    <w:rsid w:val="002E53B3"/>
    <w:rsid w:val="002E5CA5"/>
    <w:rsid w:val="002E6086"/>
    <w:rsid w:val="002E6604"/>
    <w:rsid w:val="002E7172"/>
    <w:rsid w:val="002F00FF"/>
    <w:rsid w:val="002F0156"/>
    <w:rsid w:val="002F0691"/>
    <w:rsid w:val="002F07D4"/>
    <w:rsid w:val="002F0FDD"/>
    <w:rsid w:val="002F1610"/>
    <w:rsid w:val="002F169E"/>
    <w:rsid w:val="002F177C"/>
    <w:rsid w:val="002F185A"/>
    <w:rsid w:val="002F1936"/>
    <w:rsid w:val="002F231A"/>
    <w:rsid w:val="002F2A3D"/>
    <w:rsid w:val="002F2B10"/>
    <w:rsid w:val="002F2D79"/>
    <w:rsid w:val="002F31AB"/>
    <w:rsid w:val="002F3E5C"/>
    <w:rsid w:val="002F433F"/>
    <w:rsid w:val="002F43D6"/>
    <w:rsid w:val="002F463C"/>
    <w:rsid w:val="002F49B3"/>
    <w:rsid w:val="002F4AD4"/>
    <w:rsid w:val="002F4AFD"/>
    <w:rsid w:val="002F55D5"/>
    <w:rsid w:val="002F5E14"/>
    <w:rsid w:val="002F5EDE"/>
    <w:rsid w:val="002F6227"/>
    <w:rsid w:val="002F6376"/>
    <w:rsid w:val="002F649F"/>
    <w:rsid w:val="002F69E7"/>
    <w:rsid w:val="002F7181"/>
    <w:rsid w:val="002F7736"/>
    <w:rsid w:val="002F7811"/>
    <w:rsid w:val="002F7AA6"/>
    <w:rsid w:val="002F7B9B"/>
    <w:rsid w:val="00300674"/>
    <w:rsid w:val="00300744"/>
    <w:rsid w:val="00300896"/>
    <w:rsid w:val="00300F6D"/>
    <w:rsid w:val="003021C3"/>
    <w:rsid w:val="003023D8"/>
    <w:rsid w:val="003027F7"/>
    <w:rsid w:val="003029DC"/>
    <w:rsid w:val="00302AC7"/>
    <w:rsid w:val="00302C21"/>
    <w:rsid w:val="003030D3"/>
    <w:rsid w:val="00303132"/>
    <w:rsid w:val="0030314C"/>
    <w:rsid w:val="003033B0"/>
    <w:rsid w:val="0030340C"/>
    <w:rsid w:val="0030369E"/>
    <w:rsid w:val="00303F40"/>
    <w:rsid w:val="00304207"/>
    <w:rsid w:val="00304759"/>
    <w:rsid w:val="00304C73"/>
    <w:rsid w:val="00304D6F"/>
    <w:rsid w:val="003056CA"/>
    <w:rsid w:val="003063BE"/>
    <w:rsid w:val="00306547"/>
    <w:rsid w:val="00306E47"/>
    <w:rsid w:val="0030754A"/>
    <w:rsid w:val="003075D2"/>
    <w:rsid w:val="00307E0E"/>
    <w:rsid w:val="00307E82"/>
    <w:rsid w:val="00307FF2"/>
    <w:rsid w:val="00311207"/>
    <w:rsid w:val="00311E5C"/>
    <w:rsid w:val="00311F20"/>
    <w:rsid w:val="003123E2"/>
    <w:rsid w:val="00312482"/>
    <w:rsid w:val="0031292D"/>
    <w:rsid w:val="00312C7A"/>
    <w:rsid w:val="00312EF0"/>
    <w:rsid w:val="003135BC"/>
    <w:rsid w:val="00313D6D"/>
    <w:rsid w:val="00314E00"/>
    <w:rsid w:val="0031527F"/>
    <w:rsid w:val="00315E4B"/>
    <w:rsid w:val="00315E57"/>
    <w:rsid w:val="00315FC8"/>
    <w:rsid w:val="00315FF0"/>
    <w:rsid w:val="00316435"/>
    <w:rsid w:val="003164C2"/>
    <w:rsid w:val="003164D9"/>
    <w:rsid w:val="00316F84"/>
    <w:rsid w:val="00317027"/>
    <w:rsid w:val="003201B1"/>
    <w:rsid w:val="003203E9"/>
    <w:rsid w:val="00320793"/>
    <w:rsid w:val="00321505"/>
    <w:rsid w:val="003219FC"/>
    <w:rsid w:val="00321B1F"/>
    <w:rsid w:val="00321E22"/>
    <w:rsid w:val="003220D4"/>
    <w:rsid w:val="003223A6"/>
    <w:rsid w:val="0032257F"/>
    <w:rsid w:val="00322702"/>
    <w:rsid w:val="00322F8D"/>
    <w:rsid w:val="00323447"/>
    <w:rsid w:val="00323615"/>
    <w:rsid w:val="00323C51"/>
    <w:rsid w:val="00323F97"/>
    <w:rsid w:val="003241F2"/>
    <w:rsid w:val="00324245"/>
    <w:rsid w:val="00324C44"/>
    <w:rsid w:val="00324DFE"/>
    <w:rsid w:val="00324E40"/>
    <w:rsid w:val="003266E5"/>
    <w:rsid w:val="0032684F"/>
    <w:rsid w:val="00326AAF"/>
    <w:rsid w:val="00326D0F"/>
    <w:rsid w:val="00326F02"/>
    <w:rsid w:val="00327730"/>
    <w:rsid w:val="0033094A"/>
    <w:rsid w:val="00330952"/>
    <w:rsid w:val="00330EE9"/>
    <w:rsid w:val="0033104E"/>
    <w:rsid w:val="00331442"/>
    <w:rsid w:val="00332206"/>
    <w:rsid w:val="0033256A"/>
    <w:rsid w:val="00332778"/>
    <w:rsid w:val="00332BB9"/>
    <w:rsid w:val="00332EDC"/>
    <w:rsid w:val="00333077"/>
    <w:rsid w:val="003333E9"/>
    <w:rsid w:val="00333B1D"/>
    <w:rsid w:val="003344B5"/>
    <w:rsid w:val="00334FF9"/>
    <w:rsid w:val="00335075"/>
    <w:rsid w:val="003351E2"/>
    <w:rsid w:val="003351E6"/>
    <w:rsid w:val="00335EDC"/>
    <w:rsid w:val="00336528"/>
    <w:rsid w:val="00336697"/>
    <w:rsid w:val="00336ACA"/>
    <w:rsid w:val="0033705B"/>
    <w:rsid w:val="0033762F"/>
    <w:rsid w:val="00337FCB"/>
    <w:rsid w:val="00340EE3"/>
    <w:rsid w:val="003414FC"/>
    <w:rsid w:val="003415CF"/>
    <w:rsid w:val="00341654"/>
    <w:rsid w:val="00341725"/>
    <w:rsid w:val="00341B4E"/>
    <w:rsid w:val="0034231A"/>
    <w:rsid w:val="0034249B"/>
    <w:rsid w:val="003427D9"/>
    <w:rsid w:val="00342D43"/>
    <w:rsid w:val="00342FC0"/>
    <w:rsid w:val="00343289"/>
    <w:rsid w:val="00343785"/>
    <w:rsid w:val="003437A7"/>
    <w:rsid w:val="00343935"/>
    <w:rsid w:val="00344294"/>
    <w:rsid w:val="00344667"/>
    <w:rsid w:val="00344A03"/>
    <w:rsid w:val="00344B9E"/>
    <w:rsid w:val="00344D4C"/>
    <w:rsid w:val="003452C2"/>
    <w:rsid w:val="0034530A"/>
    <w:rsid w:val="00345398"/>
    <w:rsid w:val="00345B00"/>
    <w:rsid w:val="00345C3E"/>
    <w:rsid w:val="00345D87"/>
    <w:rsid w:val="0034634B"/>
    <w:rsid w:val="00346E81"/>
    <w:rsid w:val="00346F35"/>
    <w:rsid w:val="00347D35"/>
    <w:rsid w:val="00347D64"/>
    <w:rsid w:val="0035019A"/>
    <w:rsid w:val="00350258"/>
    <w:rsid w:val="0035054D"/>
    <w:rsid w:val="003505F6"/>
    <w:rsid w:val="003513E7"/>
    <w:rsid w:val="00351DDD"/>
    <w:rsid w:val="00351F0E"/>
    <w:rsid w:val="003521A4"/>
    <w:rsid w:val="0035253A"/>
    <w:rsid w:val="00352A72"/>
    <w:rsid w:val="00352B62"/>
    <w:rsid w:val="003530D5"/>
    <w:rsid w:val="00353112"/>
    <w:rsid w:val="00353B32"/>
    <w:rsid w:val="00353BF5"/>
    <w:rsid w:val="00353D47"/>
    <w:rsid w:val="00354156"/>
    <w:rsid w:val="003546D0"/>
    <w:rsid w:val="00354E66"/>
    <w:rsid w:val="0035513C"/>
    <w:rsid w:val="003553BB"/>
    <w:rsid w:val="00355A32"/>
    <w:rsid w:val="00355C6C"/>
    <w:rsid w:val="003560E3"/>
    <w:rsid w:val="00356107"/>
    <w:rsid w:val="003563CF"/>
    <w:rsid w:val="003563ED"/>
    <w:rsid w:val="00356409"/>
    <w:rsid w:val="00356724"/>
    <w:rsid w:val="0035682B"/>
    <w:rsid w:val="003568F8"/>
    <w:rsid w:val="00356963"/>
    <w:rsid w:val="00357221"/>
    <w:rsid w:val="003577B3"/>
    <w:rsid w:val="00360272"/>
    <w:rsid w:val="00360498"/>
    <w:rsid w:val="00360920"/>
    <w:rsid w:val="00360BC9"/>
    <w:rsid w:val="0036107A"/>
    <w:rsid w:val="00361298"/>
    <w:rsid w:val="003613BD"/>
    <w:rsid w:val="003614AF"/>
    <w:rsid w:val="00361511"/>
    <w:rsid w:val="003617CE"/>
    <w:rsid w:val="003618FB"/>
    <w:rsid w:val="00361AFD"/>
    <w:rsid w:val="00361DB8"/>
    <w:rsid w:val="00362242"/>
    <w:rsid w:val="0036274B"/>
    <w:rsid w:val="003627E7"/>
    <w:rsid w:val="00362EA1"/>
    <w:rsid w:val="003630CC"/>
    <w:rsid w:val="00363638"/>
    <w:rsid w:val="003637C0"/>
    <w:rsid w:val="003637FF"/>
    <w:rsid w:val="00363BB5"/>
    <w:rsid w:val="00364878"/>
    <w:rsid w:val="00364927"/>
    <w:rsid w:val="00364BF7"/>
    <w:rsid w:val="00364C2C"/>
    <w:rsid w:val="003650F2"/>
    <w:rsid w:val="003650FF"/>
    <w:rsid w:val="0036547F"/>
    <w:rsid w:val="00366212"/>
    <w:rsid w:val="003665BF"/>
    <w:rsid w:val="0036695F"/>
    <w:rsid w:val="00366A7D"/>
    <w:rsid w:val="00366EF6"/>
    <w:rsid w:val="00367186"/>
    <w:rsid w:val="00367256"/>
    <w:rsid w:val="003674F1"/>
    <w:rsid w:val="003718E2"/>
    <w:rsid w:val="00371AA9"/>
    <w:rsid w:val="003720BB"/>
    <w:rsid w:val="003723C0"/>
    <w:rsid w:val="003726B3"/>
    <w:rsid w:val="003729AC"/>
    <w:rsid w:val="00372CCC"/>
    <w:rsid w:val="00373B7E"/>
    <w:rsid w:val="00373BDD"/>
    <w:rsid w:val="003743E9"/>
    <w:rsid w:val="00375540"/>
    <w:rsid w:val="00375CEB"/>
    <w:rsid w:val="00376254"/>
    <w:rsid w:val="00376310"/>
    <w:rsid w:val="003768FE"/>
    <w:rsid w:val="00376B66"/>
    <w:rsid w:val="00377147"/>
    <w:rsid w:val="003777D5"/>
    <w:rsid w:val="00377E34"/>
    <w:rsid w:val="00380319"/>
    <w:rsid w:val="00380409"/>
    <w:rsid w:val="0038166B"/>
    <w:rsid w:val="00381706"/>
    <w:rsid w:val="00381BDA"/>
    <w:rsid w:val="003820DD"/>
    <w:rsid w:val="0038273D"/>
    <w:rsid w:val="003830DD"/>
    <w:rsid w:val="0038385C"/>
    <w:rsid w:val="003839BF"/>
    <w:rsid w:val="00383B66"/>
    <w:rsid w:val="003840CB"/>
    <w:rsid w:val="003842E5"/>
    <w:rsid w:val="003849E1"/>
    <w:rsid w:val="00384DED"/>
    <w:rsid w:val="00384FA7"/>
    <w:rsid w:val="00384FB4"/>
    <w:rsid w:val="00385946"/>
    <w:rsid w:val="00385B2C"/>
    <w:rsid w:val="00387503"/>
    <w:rsid w:val="003879E5"/>
    <w:rsid w:val="00390735"/>
    <w:rsid w:val="003908CE"/>
    <w:rsid w:val="0039092A"/>
    <w:rsid w:val="00390965"/>
    <w:rsid w:val="00390C06"/>
    <w:rsid w:val="003914D6"/>
    <w:rsid w:val="00392A38"/>
    <w:rsid w:val="0039310D"/>
    <w:rsid w:val="003934A8"/>
    <w:rsid w:val="00394139"/>
    <w:rsid w:val="003943BB"/>
    <w:rsid w:val="003947BD"/>
    <w:rsid w:val="00394A79"/>
    <w:rsid w:val="00394B59"/>
    <w:rsid w:val="00394F0D"/>
    <w:rsid w:val="00396815"/>
    <w:rsid w:val="0039693F"/>
    <w:rsid w:val="003A04D6"/>
    <w:rsid w:val="003A060B"/>
    <w:rsid w:val="003A0760"/>
    <w:rsid w:val="003A08B2"/>
    <w:rsid w:val="003A0C5B"/>
    <w:rsid w:val="003A12EE"/>
    <w:rsid w:val="003A16A0"/>
    <w:rsid w:val="003A1AFD"/>
    <w:rsid w:val="003A225A"/>
    <w:rsid w:val="003A2CA7"/>
    <w:rsid w:val="003A32F2"/>
    <w:rsid w:val="003A34A7"/>
    <w:rsid w:val="003A34B9"/>
    <w:rsid w:val="003A37FD"/>
    <w:rsid w:val="003A3AE6"/>
    <w:rsid w:val="003A3B91"/>
    <w:rsid w:val="003A3DE5"/>
    <w:rsid w:val="003A3EAA"/>
    <w:rsid w:val="003A3F49"/>
    <w:rsid w:val="003A4150"/>
    <w:rsid w:val="003A4336"/>
    <w:rsid w:val="003A441F"/>
    <w:rsid w:val="003A4443"/>
    <w:rsid w:val="003A444C"/>
    <w:rsid w:val="003A4A7D"/>
    <w:rsid w:val="003A5315"/>
    <w:rsid w:val="003A56A8"/>
    <w:rsid w:val="003A5B16"/>
    <w:rsid w:val="003A5F4A"/>
    <w:rsid w:val="003A66FA"/>
    <w:rsid w:val="003A6808"/>
    <w:rsid w:val="003A6D39"/>
    <w:rsid w:val="003A6D9B"/>
    <w:rsid w:val="003A71C5"/>
    <w:rsid w:val="003A7734"/>
    <w:rsid w:val="003A7EED"/>
    <w:rsid w:val="003B0308"/>
    <w:rsid w:val="003B0CA0"/>
    <w:rsid w:val="003B0E33"/>
    <w:rsid w:val="003B1307"/>
    <w:rsid w:val="003B1B0F"/>
    <w:rsid w:val="003B21AD"/>
    <w:rsid w:val="003B3515"/>
    <w:rsid w:val="003B3B2C"/>
    <w:rsid w:val="003B3EDF"/>
    <w:rsid w:val="003B4B26"/>
    <w:rsid w:val="003B50E7"/>
    <w:rsid w:val="003B5491"/>
    <w:rsid w:val="003B551A"/>
    <w:rsid w:val="003B5655"/>
    <w:rsid w:val="003B594B"/>
    <w:rsid w:val="003B59C7"/>
    <w:rsid w:val="003B61A4"/>
    <w:rsid w:val="003B6A64"/>
    <w:rsid w:val="003B6F1D"/>
    <w:rsid w:val="003B7779"/>
    <w:rsid w:val="003B7F65"/>
    <w:rsid w:val="003C0352"/>
    <w:rsid w:val="003C0498"/>
    <w:rsid w:val="003C04D2"/>
    <w:rsid w:val="003C096C"/>
    <w:rsid w:val="003C16A4"/>
    <w:rsid w:val="003C19E5"/>
    <w:rsid w:val="003C1E05"/>
    <w:rsid w:val="003C1E48"/>
    <w:rsid w:val="003C22CA"/>
    <w:rsid w:val="003C23BD"/>
    <w:rsid w:val="003C2493"/>
    <w:rsid w:val="003C26CF"/>
    <w:rsid w:val="003C2CC1"/>
    <w:rsid w:val="003C2E2D"/>
    <w:rsid w:val="003C3367"/>
    <w:rsid w:val="003C399E"/>
    <w:rsid w:val="003C40FB"/>
    <w:rsid w:val="003C4C7E"/>
    <w:rsid w:val="003C5419"/>
    <w:rsid w:val="003C5CE6"/>
    <w:rsid w:val="003C62D7"/>
    <w:rsid w:val="003C62E0"/>
    <w:rsid w:val="003C6811"/>
    <w:rsid w:val="003C6891"/>
    <w:rsid w:val="003C69FC"/>
    <w:rsid w:val="003C6AD6"/>
    <w:rsid w:val="003C6AF7"/>
    <w:rsid w:val="003C6E30"/>
    <w:rsid w:val="003C6E8B"/>
    <w:rsid w:val="003C7318"/>
    <w:rsid w:val="003C7391"/>
    <w:rsid w:val="003C7489"/>
    <w:rsid w:val="003C79A1"/>
    <w:rsid w:val="003C7B10"/>
    <w:rsid w:val="003C7BA3"/>
    <w:rsid w:val="003C7C73"/>
    <w:rsid w:val="003D033E"/>
    <w:rsid w:val="003D0831"/>
    <w:rsid w:val="003D0FCD"/>
    <w:rsid w:val="003D15F7"/>
    <w:rsid w:val="003D1B8C"/>
    <w:rsid w:val="003D2164"/>
    <w:rsid w:val="003D2435"/>
    <w:rsid w:val="003D29EA"/>
    <w:rsid w:val="003D31D5"/>
    <w:rsid w:val="003D3529"/>
    <w:rsid w:val="003D37B6"/>
    <w:rsid w:val="003D4D89"/>
    <w:rsid w:val="003D4E7C"/>
    <w:rsid w:val="003D4E9E"/>
    <w:rsid w:val="003D51BC"/>
    <w:rsid w:val="003D5200"/>
    <w:rsid w:val="003D5F39"/>
    <w:rsid w:val="003D6827"/>
    <w:rsid w:val="003D699D"/>
    <w:rsid w:val="003D6FAD"/>
    <w:rsid w:val="003D70C1"/>
    <w:rsid w:val="003D7FD5"/>
    <w:rsid w:val="003E0452"/>
    <w:rsid w:val="003E12D0"/>
    <w:rsid w:val="003E1BA6"/>
    <w:rsid w:val="003E1C1E"/>
    <w:rsid w:val="003E1D92"/>
    <w:rsid w:val="003E267F"/>
    <w:rsid w:val="003E2ABE"/>
    <w:rsid w:val="003E2BD3"/>
    <w:rsid w:val="003E2E55"/>
    <w:rsid w:val="003E33B8"/>
    <w:rsid w:val="003E344F"/>
    <w:rsid w:val="003E34BE"/>
    <w:rsid w:val="003E3506"/>
    <w:rsid w:val="003E3571"/>
    <w:rsid w:val="003E4091"/>
    <w:rsid w:val="003E41F7"/>
    <w:rsid w:val="003E4C08"/>
    <w:rsid w:val="003E51A3"/>
    <w:rsid w:val="003E53A7"/>
    <w:rsid w:val="003E5A57"/>
    <w:rsid w:val="003E5ED0"/>
    <w:rsid w:val="003E6EE2"/>
    <w:rsid w:val="003E72AA"/>
    <w:rsid w:val="003E7434"/>
    <w:rsid w:val="003E753A"/>
    <w:rsid w:val="003E7C74"/>
    <w:rsid w:val="003E7FAB"/>
    <w:rsid w:val="003E7FB8"/>
    <w:rsid w:val="003F0282"/>
    <w:rsid w:val="003F0666"/>
    <w:rsid w:val="003F0668"/>
    <w:rsid w:val="003F1198"/>
    <w:rsid w:val="003F16E9"/>
    <w:rsid w:val="003F2351"/>
    <w:rsid w:val="003F270C"/>
    <w:rsid w:val="003F274D"/>
    <w:rsid w:val="003F2857"/>
    <w:rsid w:val="003F2ADB"/>
    <w:rsid w:val="003F2DE4"/>
    <w:rsid w:val="003F2F47"/>
    <w:rsid w:val="003F343A"/>
    <w:rsid w:val="003F39A7"/>
    <w:rsid w:val="003F3F2A"/>
    <w:rsid w:val="003F3FBD"/>
    <w:rsid w:val="003F40DE"/>
    <w:rsid w:val="003F41EF"/>
    <w:rsid w:val="003F45A1"/>
    <w:rsid w:val="003F464E"/>
    <w:rsid w:val="003F473D"/>
    <w:rsid w:val="003F47B6"/>
    <w:rsid w:val="003F5009"/>
    <w:rsid w:val="003F544C"/>
    <w:rsid w:val="003F598B"/>
    <w:rsid w:val="003F59F6"/>
    <w:rsid w:val="003F64A2"/>
    <w:rsid w:val="003F678D"/>
    <w:rsid w:val="003F68A6"/>
    <w:rsid w:val="003F6AD6"/>
    <w:rsid w:val="003F6BE1"/>
    <w:rsid w:val="003F6CA3"/>
    <w:rsid w:val="003F7646"/>
    <w:rsid w:val="003F799D"/>
    <w:rsid w:val="0040021D"/>
    <w:rsid w:val="00400222"/>
    <w:rsid w:val="00400F10"/>
    <w:rsid w:val="00400F6E"/>
    <w:rsid w:val="004010D2"/>
    <w:rsid w:val="00401142"/>
    <w:rsid w:val="004011DB"/>
    <w:rsid w:val="00401722"/>
    <w:rsid w:val="004022B2"/>
    <w:rsid w:val="00402864"/>
    <w:rsid w:val="004029ED"/>
    <w:rsid w:val="00402EC4"/>
    <w:rsid w:val="00402FB5"/>
    <w:rsid w:val="0040390A"/>
    <w:rsid w:val="00403927"/>
    <w:rsid w:val="00403C52"/>
    <w:rsid w:val="00403F0C"/>
    <w:rsid w:val="00404234"/>
    <w:rsid w:val="004045B1"/>
    <w:rsid w:val="00404C13"/>
    <w:rsid w:val="00404FAE"/>
    <w:rsid w:val="00405A58"/>
    <w:rsid w:val="00405F53"/>
    <w:rsid w:val="00406429"/>
    <w:rsid w:val="00406B91"/>
    <w:rsid w:val="00406D1A"/>
    <w:rsid w:val="00406EC8"/>
    <w:rsid w:val="004070A9"/>
    <w:rsid w:val="004074C9"/>
    <w:rsid w:val="00407A48"/>
    <w:rsid w:val="00407FE3"/>
    <w:rsid w:val="00410005"/>
    <w:rsid w:val="00410246"/>
    <w:rsid w:val="00410277"/>
    <w:rsid w:val="004103BE"/>
    <w:rsid w:val="00410472"/>
    <w:rsid w:val="00410584"/>
    <w:rsid w:val="00410C1B"/>
    <w:rsid w:val="00410DC2"/>
    <w:rsid w:val="00411086"/>
    <w:rsid w:val="00411222"/>
    <w:rsid w:val="004115EC"/>
    <w:rsid w:val="00411B11"/>
    <w:rsid w:val="00412252"/>
    <w:rsid w:val="004122F9"/>
    <w:rsid w:val="00412A24"/>
    <w:rsid w:val="00412A29"/>
    <w:rsid w:val="00412D2F"/>
    <w:rsid w:val="00413A73"/>
    <w:rsid w:val="00413E83"/>
    <w:rsid w:val="00414043"/>
    <w:rsid w:val="004143E5"/>
    <w:rsid w:val="004144D6"/>
    <w:rsid w:val="00414BDD"/>
    <w:rsid w:val="0041528D"/>
    <w:rsid w:val="00415A27"/>
    <w:rsid w:val="004165BC"/>
    <w:rsid w:val="004167A6"/>
    <w:rsid w:val="00416AAB"/>
    <w:rsid w:val="0041722C"/>
    <w:rsid w:val="004176B6"/>
    <w:rsid w:val="00417CA2"/>
    <w:rsid w:val="00420CED"/>
    <w:rsid w:val="00421109"/>
    <w:rsid w:val="0042153A"/>
    <w:rsid w:val="00421950"/>
    <w:rsid w:val="00421A9F"/>
    <w:rsid w:val="0042257D"/>
    <w:rsid w:val="004239D9"/>
    <w:rsid w:val="0042493E"/>
    <w:rsid w:val="00424959"/>
    <w:rsid w:val="004250EE"/>
    <w:rsid w:val="004253C7"/>
    <w:rsid w:val="00425973"/>
    <w:rsid w:val="004260A6"/>
    <w:rsid w:val="004261EF"/>
    <w:rsid w:val="00426BD4"/>
    <w:rsid w:val="00426FE4"/>
    <w:rsid w:val="004270F3"/>
    <w:rsid w:val="004272A4"/>
    <w:rsid w:val="004306CD"/>
    <w:rsid w:val="004311E1"/>
    <w:rsid w:val="00431246"/>
    <w:rsid w:val="004314DB"/>
    <w:rsid w:val="00431DD0"/>
    <w:rsid w:val="004322D2"/>
    <w:rsid w:val="00432973"/>
    <w:rsid w:val="0043315C"/>
    <w:rsid w:val="0043356C"/>
    <w:rsid w:val="00433653"/>
    <w:rsid w:val="00433768"/>
    <w:rsid w:val="00433B49"/>
    <w:rsid w:val="00433D09"/>
    <w:rsid w:val="004350FF"/>
    <w:rsid w:val="0043510C"/>
    <w:rsid w:val="004357CE"/>
    <w:rsid w:val="00435E95"/>
    <w:rsid w:val="00436F5C"/>
    <w:rsid w:val="00437194"/>
    <w:rsid w:val="00437B94"/>
    <w:rsid w:val="00437B9B"/>
    <w:rsid w:val="00437C98"/>
    <w:rsid w:val="0044009B"/>
    <w:rsid w:val="00440380"/>
    <w:rsid w:val="00441324"/>
    <w:rsid w:val="004419A3"/>
    <w:rsid w:val="00441B6E"/>
    <w:rsid w:val="00441EBE"/>
    <w:rsid w:val="0044212F"/>
    <w:rsid w:val="004423B5"/>
    <w:rsid w:val="00442431"/>
    <w:rsid w:val="00442A53"/>
    <w:rsid w:val="00442AA1"/>
    <w:rsid w:val="00442AC5"/>
    <w:rsid w:val="004437F4"/>
    <w:rsid w:val="0044440C"/>
    <w:rsid w:val="00444F45"/>
    <w:rsid w:val="00445092"/>
    <w:rsid w:val="00445C46"/>
    <w:rsid w:val="00445C5C"/>
    <w:rsid w:val="00445C8E"/>
    <w:rsid w:val="00446C29"/>
    <w:rsid w:val="00447467"/>
    <w:rsid w:val="0044779B"/>
    <w:rsid w:val="00447802"/>
    <w:rsid w:val="00447C80"/>
    <w:rsid w:val="00450138"/>
    <w:rsid w:val="004508F2"/>
    <w:rsid w:val="00450A37"/>
    <w:rsid w:val="00451639"/>
    <w:rsid w:val="0045202B"/>
    <w:rsid w:val="00452328"/>
    <w:rsid w:val="00452995"/>
    <w:rsid w:val="00452A3B"/>
    <w:rsid w:val="00452CCA"/>
    <w:rsid w:val="00453330"/>
    <w:rsid w:val="0045345C"/>
    <w:rsid w:val="0045424F"/>
    <w:rsid w:val="00454D1C"/>
    <w:rsid w:val="00455465"/>
    <w:rsid w:val="004554ED"/>
    <w:rsid w:val="00455539"/>
    <w:rsid w:val="00455AB9"/>
    <w:rsid w:val="00455BB9"/>
    <w:rsid w:val="00455C02"/>
    <w:rsid w:val="00456D92"/>
    <w:rsid w:val="004575DE"/>
    <w:rsid w:val="00457946"/>
    <w:rsid w:val="00457CAA"/>
    <w:rsid w:val="00457FAA"/>
    <w:rsid w:val="00460526"/>
    <w:rsid w:val="00460D5A"/>
    <w:rsid w:val="00460D81"/>
    <w:rsid w:val="004612FF"/>
    <w:rsid w:val="004616C9"/>
    <w:rsid w:val="004617D3"/>
    <w:rsid w:val="00461A93"/>
    <w:rsid w:val="00461E39"/>
    <w:rsid w:val="00462064"/>
    <w:rsid w:val="004626B9"/>
    <w:rsid w:val="00462C43"/>
    <w:rsid w:val="00463ADD"/>
    <w:rsid w:val="00463E78"/>
    <w:rsid w:val="00463FBD"/>
    <w:rsid w:val="0046435F"/>
    <w:rsid w:val="0046459B"/>
    <w:rsid w:val="00464636"/>
    <w:rsid w:val="00464A80"/>
    <w:rsid w:val="00464F1F"/>
    <w:rsid w:val="004651B0"/>
    <w:rsid w:val="004652A2"/>
    <w:rsid w:val="004657B6"/>
    <w:rsid w:val="004658E5"/>
    <w:rsid w:val="00465DD2"/>
    <w:rsid w:val="00466001"/>
    <w:rsid w:val="00466238"/>
    <w:rsid w:val="00466539"/>
    <w:rsid w:val="00466DC3"/>
    <w:rsid w:val="00467062"/>
    <w:rsid w:val="00470C6D"/>
    <w:rsid w:val="00471317"/>
    <w:rsid w:val="004713AF"/>
    <w:rsid w:val="004715BA"/>
    <w:rsid w:val="00471786"/>
    <w:rsid w:val="004718C1"/>
    <w:rsid w:val="00471A6A"/>
    <w:rsid w:val="00471FC1"/>
    <w:rsid w:val="00472196"/>
    <w:rsid w:val="00472258"/>
    <w:rsid w:val="00472E95"/>
    <w:rsid w:val="00473178"/>
    <w:rsid w:val="0047361B"/>
    <w:rsid w:val="00473AFD"/>
    <w:rsid w:val="00473CC3"/>
    <w:rsid w:val="00474176"/>
    <w:rsid w:val="00475277"/>
    <w:rsid w:val="00475CCB"/>
    <w:rsid w:val="00476377"/>
    <w:rsid w:val="004769F4"/>
    <w:rsid w:val="00476F3A"/>
    <w:rsid w:val="004772FE"/>
    <w:rsid w:val="00477BAD"/>
    <w:rsid w:val="00480318"/>
    <w:rsid w:val="0048043A"/>
    <w:rsid w:val="00480513"/>
    <w:rsid w:val="00480DAD"/>
    <w:rsid w:val="00480F40"/>
    <w:rsid w:val="004810B1"/>
    <w:rsid w:val="004812DD"/>
    <w:rsid w:val="00481504"/>
    <w:rsid w:val="0048182D"/>
    <w:rsid w:val="00482590"/>
    <w:rsid w:val="004826C7"/>
    <w:rsid w:val="00482A1F"/>
    <w:rsid w:val="00482AB5"/>
    <w:rsid w:val="00482C65"/>
    <w:rsid w:val="00482E60"/>
    <w:rsid w:val="004833F4"/>
    <w:rsid w:val="004837DD"/>
    <w:rsid w:val="00483944"/>
    <w:rsid w:val="004843BC"/>
    <w:rsid w:val="00484D8A"/>
    <w:rsid w:val="0048509A"/>
    <w:rsid w:val="00485AB0"/>
    <w:rsid w:val="00486658"/>
    <w:rsid w:val="00486C65"/>
    <w:rsid w:val="00486E3D"/>
    <w:rsid w:val="004871CD"/>
    <w:rsid w:val="004871E2"/>
    <w:rsid w:val="0048759B"/>
    <w:rsid w:val="00487858"/>
    <w:rsid w:val="00487E4F"/>
    <w:rsid w:val="00487E6F"/>
    <w:rsid w:val="004901E8"/>
    <w:rsid w:val="0049043B"/>
    <w:rsid w:val="004906D0"/>
    <w:rsid w:val="00490773"/>
    <w:rsid w:val="004908CF"/>
    <w:rsid w:val="004911B2"/>
    <w:rsid w:val="004913BF"/>
    <w:rsid w:val="00491581"/>
    <w:rsid w:val="0049199B"/>
    <w:rsid w:val="00491E13"/>
    <w:rsid w:val="00491F93"/>
    <w:rsid w:val="0049233C"/>
    <w:rsid w:val="004925A6"/>
    <w:rsid w:val="004925D6"/>
    <w:rsid w:val="00492B9D"/>
    <w:rsid w:val="00492C1D"/>
    <w:rsid w:val="004932FC"/>
    <w:rsid w:val="00493322"/>
    <w:rsid w:val="00493924"/>
    <w:rsid w:val="00493B77"/>
    <w:rsid w:val="00493FC5"/>
    <w:rsid w:val="004943D5"/>
    <w:rsid w:val="004949CE"/>
    <w:rsid w:val="00494B02"/>
    <w:rsid w:val="00494FE2"/>
    <w:rsid w:val="00494FF1"/>
    <w:rsid w:val="00495466"/>
    <w:rsid w:val="004956BA"/>
    <w:rsid w:val="00495844"/>
    <w:rsid w:val="00495FA0"/>
    <w:rsid w:val="00496AFF"/>
    <w:rsid w:val="0049722C"/>
    <w:rsid w:val="0049747B"/>
    <w:rsid w:val="00497586"/>
    <w:rsid w:val="004975AF"/>
    <w:rsid w:val="004A018C"/>
    <w:rsid w:val="004A020A"/>
    <w:rsid w:val="004A0282"/>
    <w:rsid w:val="004A0537"/>
    <w:rsid w:val="004A05B1"/>
    <w:rsid w:val="004A06B4"/>
    <w:rsid w:val="004A07AC"/>
    <w:rsid w:val="004A167C"/>
    <w:rsid w:val="004A25B9"/>
    <w:rsid w:val="004A2A57"/>
    <w:rsid w:val="004A2D3A"/>
    <w:rsid w:val="004A2F57"/>
    <w:rsid w:val="004A2FA7"/>
    <w:rsid w:val="004A3105"/>
    <w:rsid w:val="004A379E"/>
    <w:rsid w:val="004A416D"/>
    <w:rsid w:val="004A42EC"/>
    <w:rsid w:val="004A4473"/>
    <w:rsid w:val="004A4F56"/>
    <w:rsid w:val="004A503A"/>
    <w:rsid w:val="004A5056"/>
    <w:rsid w:val="004A520F"/>
    <w:rsid w:val="004A56D4"/>
    <w:rsid w:val="004A5B63"/>
    <w:rsid w:val="004A5CA5"/>
    <w:rsid w:val="004A6536"/>
    <w:rsid w:val="004A7430"/>
    <w:rsid w:val="004B01C5"/>
    <w:rsid w:val="004B064A"/>
    <w:rsid w:val="004B06B0"/>
    <w:rsid w:val="004B0F0F"/>
    <w:rsid w:val="004B115C"/>
    <w:rsid w:val="004B11BC"/>
    <w:rsid w:val="004B1658"/>
    <w:rsid w:val="004B165B"/>
    <w:rsid w:val="004B169B"/>
    <w:rsid w:val="004B1909"/>
    <w:rsid w:val="004B1C7D"/>
    <w:rsid w:val="004B1D31"/>
    <w:rsid w:val="004B1D6C"/>
    <w:rsid w:val="004B1E32"/>
    <w:rsid w:val="004B2306"/>
    <w:rsid w:val="004B2716"/>
    <w:rsid w:val="004B2EAA"/>
    <w:rsid w:val="004B3A2E"/>
    <w:rsid w:val="004B3C31"/>
    <w:rsid w:val="004B4345"/>
    <w:rsid w:val="004B4705"/>
    <w:rsid w:val="004B4A56"/>
    <w:rsid w:val="004B4A77"/>
    <w:rsid w:val="004B4A81"/>
    <w:rsid w:val="004B4FA3"/>
    <w:rsid w:val="004B50B0"/>
    <w:rsid w:val="004B5F55"/>
    <w:rsid w:val="004B6286"/>
    <w:rsid w:val="004B67F4"/>
    <w:rsid w:val="004B683D"/>
    <w:rsid w:val="004B6F18"/>
    <w:rsid w:val="004B73DF"/>
    <w:rsid w:val="004B7BD3"/>
    <w:rsid w:val="004B7CB7"/>
    <w:rsid w:val="004B7E72"/>
    <w:rsid w:val="004B7F42"/>
    <w:rsid w:val="004C023F"/>
    <w:rsid w:val="004C0580"/>
    <w:rsid w:val="004C0726"/>
    <w:rsid w:val="004C0EB2"/>
    <w:rsid w:val="004C23B4"/>
    <w:rsid w:val="004C24DE"/>
    <w:rsid w:val="004C2EE6"/>
    <w:rsid w:val="004C2FED"/>
    <w:rsid w:val="004C2FFB"/>
    <w:rsid w:val="004C33C3"/>
    <w:rsid w:val="004C3445"/>
    <w:rsid w:val="004C3459"/>
    <w:rsid w:val="004C40BC"/>
    <w:rsid w:val="004C4BA2"/>
    <w:rsid w:val="004C4D5A"/>
    <w:rsid w:val="004C509C"/>
    <w:rsid w:val="004C5161"/>
    <w:rsid w:val="004C51FF"/>
    <w:rsid w:val="004C546D"/>
    <w:rsid w:val="004C60BA"/>
    <w:rsid w:val="004C60D3"/>
    <w:rsid w:val="004C62E6"/>
    <w:rsid w:val="004C63B9"/>
    <w:rsid w:val="004C665E"/>
    <w:rsid w:val="004C6843"/>
    <w:rsid w:val="004C6897"/>
    <w:rsid w:val="004C6AB4"/>
    <w:rsid w:val="004C6D0E"/>
    <w:rsid w:val="004C6F2E"/>
    <w:rsid w:val="004C72DA"/>
    <w:rsid w:val="004C79E3"/>
    <w:rsid w:val="004C7ECE"/>
    <w:rsid w:val="004D03DE"/>
    <w:rsid w:val="004D06E6"/>
    <w:rsid w:val="004D0719"/>
    <w:rsid w:val="004D0984"/>
    <w:rsid w:val="004D0DBD"/>
    <w:rsid w:val="004D0FC5"/>
    <w:rsid w:val="004D1700"/>
    <w:rsid w:val="004D1B06"/>
    <w:rsid w:val="004D2229"/>
    <w:rsid w:val="004D23D9"/>
    <w:rsid w:val="004D373A"/>
    <w:rsid w:val="004D3A9E"/>
    <w:rsid w:val="004D40E5"/>
    <w:rsid w:val="004D479D"/>
    <w:rsid w:val="004D4D02"/>
    <w:rsid w:val="004D535C"/>
    <w:rsid w:val="004D563F"/>
    <w:rsid w:val="004D5BD2"/>
    <w:rsid w:val="004D5C8B"/>
    <w:rsid w:val="004D5F04"/>
    <w:rsid w:val="004D677B"/>
    <w:rsid w:val="004D6CD0"/>
    <w:rsid w:val="004D6CF7"/>
    <w:rsid w:val="004D6F95"/>
    <w:rsid w:val="004D7822"/>
    <w:rsid w:val="004D7AF4"/>
    <w:rsid w:val="004D7C35"/>
    <w:rsid w:val="004D7EBE"/>
    <w:rsid w:val="004E0589"/>
    <w:rsid w:val="004E0AE1"/>
    <w:rsid w:val="004E149F"/>
    <w:rsid w:val="004E1914"/>
    <w:rsid w:val="004E1964"/>
    <w:rsid w:val="004E1FB9"/>
    <w:rsid w:val="004E217C"/>
    <w:rsid w:val="004E2235"/>
    <w:rsid w:val="004E2432"/>
    <w:rsid w:val="004E2D3E"/>
    <w:rsid w:val="004E33D7"/>
    <w:rsid w:val="004E3487"/>
    <w:rsid w:val="004E35E1"/>
    <w:rsid w:val="004E3858"/>
    <w:rsid w:val="004E3BEB"/>
    <w:rsid w:val="004E3DB8"/>
    <w:rsid w:val="004E3FD5"/>
    <w:rsid w:val="004E4462"/>
    <w:rsid w:val="004E5569"/>
    <w:rsid w:val="004E5A81"/>
    <w:rsid w:val="004E625A"/>
    <w:rsid w:val="004E6576"/>
    <w:rsid w:val="004E6DD2"/>
    <w:rsid w:val="004E6F00"/>
    <w:rsid w:val="004E77BD"/>
    <w:rsid w:val="004E7902"/>
    <w:rsid w:val="004E7D05"/>
    <w:rsid w:val="004E7D75"/>
    <w:rsid w:val="004E7FBB"/>
    <w:rsid w:val="004F0EB4"/>
    <w:rsid w:val="004F1971"/>
    <w:rsid w:val="004F1A6C"/>
    <w:rsid w:val="004F20B2"/>
    <w:rsid w:val="004F2B73"/>
    <w:rsid w:val="004F2E1C"/>
    <w:rsid w:val="004F32AF"/>
    <w:rsid w:val="004F34E9"/>
    <w:rsid w:val="004F38B4"/>
    <w:rsid w:val="004F417C"/>
    <w:rsid w:val="004F4A61"/>
    <w:rsid w:val="004F508B"/>
    <w:rsid w:val="004F563D"/>
    <w:rsid w:val="004F5AE2"/>
    <w:rsid w:val="004F5D57"/>
    <w:rsid w:val="004F614A"/>
    <w:rsid w:val="004F617A"/>
    <w:rsid w:val="004F61B5"/>
    <w:rsid w:val="004F6680"/>
    <w:rsid w:val="004F6C5F"/>
    <w:rsid w:val="004F750E"/>
    <w:rsid w:val="004F795A"/>
    <w:rsid w:val="00500181"/>
    <w:rsid w:val="00500663"/>
    <w:rsid w:val="005006FC"/>
    <w:rsid w:val="00500AF4"/>
    <w:rsid w:val="00500DB4"/>
    <w:rsid w:val="00501273"/>
    <w:rsid w:val="005013CF"/>
    <w:rsid w:val="00501C0F"/>
    <w:rsid w:val="0050228A"/>
    <w:rsid w:val="00502C3F"/>
    <w:rsid w:val="0050339C"/>
    <w:rsid w:val="0050363D"/>
    <w:rsid w:val="005037EE"/>
    <w:rsid w:val="00503BFD"/>
    <w:rsid w:val="00504119"/>
    <w:rsid w:val="005053BB"/>
    <w:rsid w:val="00505515"/>
    <w:rsid w:val="005057C2"/>
    <w:rsid w:val="00505F59"/>
    <w:rsid w:val="00506374"/>
    <w:rsid w:val="00506D97"/>
    <w:rsid w:val="00506FEF"/>
    <w:rsid w:val="00507DDD"/>
    <w:rsid w:val="005102BB"/>
    <w:rsid w:val="00510558"/>
    <w:rsid w:val="005105B8"/>
    <w:rsid w:val="00511572"/>
    <w:rsid w:val="00511CCC"/>
    <w:rsid w:val="005122AE"/>
    <w:rsid w:val="0051266F"/>
    <w:rsid w:val="0051363C"/>
    <w:rsid w:val="005136FC"/>
    <w:rsid w:val="00513CF4"/>
    <w:rsid w:val="00514294"/>
    <w:rsid w:val="00514602"/>
    <w:rsid w:val="00515290"/>
    <w:rsid w:val="00515645"/>
    <w:rsid w:val="005159F7"/>
    <w:rsid w:val="00515E10"/>
    <w:rsid w:val="00516343"/>
    <w:rsid w:val="005178AA"/>
    <w:rsid w:val="00517E26"/>
    <w:rsid w:val="00520382"/>
    <w:rsid w:val="005203EA"/>
    <w:rsid w:val="005203FF"/>
    <w:rsid w:val="0052052A"/>
    <w:rsid w:val="0052068D"/>
    <w:rsid w:val="0052084E"/>
    <w:rsid w:val="00520E88"/>
    <w:rsid w:val="00521419"/>
    <w:rsid w:val="005215D5"/>
    <w:rsid w:val="0052164C"/>
    <w:rsid w:val="0052170B"/>
    <w:rsid w:val="005220D1"/>
    <w:rsid w:val="00522BFC"/>
    <w:rsid w:val="005237A1"/>
    <w:rsid w:val="00524433"/>
    <w:rsid w:val="00524C3A"/>
    <w:rsid w:val="0052516A"/>
    <w:rsid w:val="00525AAB"/>
    <w:rsid w:val="00525ADF"/>
    <w:rsid w:val="00525E80"/>
    <w:rsid w:val="005261ED"/>
    <w:rsid w:val="00526BBB"/>
    <w:rsid w:val="00526D52"/>
    <w:rsid w:val="00526F21"/>
    <w:rsid w:val="00527C39"/>
    <w:rsid w:val="00527EFF"/>
    <w:rsid w:val="00530783"/>
    <w:rsid w:val="005308D2"/>
    <w:rsid w:val="00531848"/>
    <w:rsid w:val="00531FA3"/>
    <w:rsid w:val="00532154"/>
    <w:rsid w:val="0053220B"/>
    <w:rsid w:val="0053229E"/>
    <w:rsid w:val="00532922"/>
    <w:rsid w:val="005337D3"/>
    <w:rsid w:val="00533CF1"/>
    <w:rsid w:val="00534A7A"/>
    <w:rsid w:val="00534AD1"/>
    <w:rsid w:val="00534EF7"/>
    <w:rsid w:val="00535081"/>
    <w:rsid w:val="005358F9"/>
    <w:rsid w:val="00535958"/>
    <w:rsid w:val="00535A68"/>
    <w:rsid w:val="00535B87"/>
    <w:rsid w:val="005360D1"/>
    <w:rsid w:val="00536ADB"/>
    <w:rsid w:val="00536C1C"/>
    <w:rsid w:val="00536C4F"/>
    <w:rsid w:val="00536F4A"/>
    <w:rsid w:val="00537497"/>
    <w:rsid w:val="005374F1"/>
    <w:rsid w:val="005377D9"/>
    <w:rsid w:val="005378C6"/>
    <w:rsid w:val="00537A84"/>
    <w:rsid w:val="0054061B"/>
    <w:rsid w:val="00540A75"/>
    <w:rsid w:val="00540DB1"/>
    <w:rsid w:val="0054108A"/>
    <w:rsid w:val="0054122E"/>
    <w:rsid w:val="0054135B"/>
    <w:rsid w:val="00541490"/>
    <w:rsid w:val="005418D8"/>
    <w:rsid w:val="00541EFB"/>
    <w:rsid w:val="0054215C"/>
    <w:rsid w:val="00542C53"/>
    <w:rsid w:val="005434E8"/>
    <w:rsid w:val="00543655"/>
    <w:rsid w:val="00543B72"/>
    <w:rsid w:val="00544487"/>
    <w:rsid w:val="005444EB"/>
    <w:rsid w:val="0054456B"/>
    <w:rsid w:val="00544D9B"/>
    <w:rsid w:val="00545188"/>
    <w:rsid w:val="0054520F"/>
    <w:rsid w:val="005454DC"/>
    <w:rsid w:val="0054552B"/>
    <w:rsid w:val="0054598B"/>
    <w:rsid w:val="00545BA4"/>
    <w:rsid w:val="00545C2A"/>
    <w:rsid w:val="0054624F"/>
    <w:rsid w:val="00546581"/>
    <w:rsid w:val="00547523"/>
    <w:rsid w:val="0055013E"/>
    <w:rsid w:val="0055026E"/>
    <w:rsid w:val="00550D35"/>
    <w:rsid w:val="00550E27"/>
    <w:rsid w:val="00551329"/>
    <w:rsid w:val="005514F5"/>
    <w:rsid w:val="00551A6C"/>
    <w:rsid w:val="00551C4F"/>
    <w:rsid w:val="00551F90"/>
    <w:rsid w:val="00552285"/>
    <w:rsid w:val="005526F7"/>
    <w:rsid w:val="00552791"/>
    <w:rsid w:val="005530E8"/>
    <w:rsid w:val="005535A1"/>
    <w:rsid w:val="00553680"/>
    <w:rsid w:val="00553E91"/>
    <w:rsid w:val="00554724"/>
    <w:rsid w:val="00554B5E"/>
    <w:rsid w:val="00555336"/>
    <w:rsid w:val="005558DC"/>
    <w:rsid w:val="00555B78"/>
    <w:rsid w:val="00555CF4"/>
    <w:rsid w:val="00556050"/>
    <w:rsid w:val="0055618E"/>
    <w:rsid w:val="0055622E"/>
    <w:rsid w:val="0055670E"/>
    <w:rsid w:val="00556A2A"/>
    <w:rsid w:val="00556C41"/>
    <w:rsid w:val="005571E1"/>
    <w:rsid w:val="00557256"/>
    <w:rsid w:val="00557A9A"/>
    <w:rsid w:val="00557B0B"/>
    <w:rsid w:val="00557BA3"/>
    <w:rsid w:val="00557C6B"/>
    <w:rsid w:val="00560AB4"/>
    <w:rsid w:val="00561457"/>
    <w:rsid w:val="00561BAB"/>
    <w:rsid w:val="00561E18"/>
    <w:rsid w:val="00561EB5"/>
    <w:rsid w:val="00562EA1"/>
    <w:rsid w:val="00563290"/>
    <w:rsid w:val="005635B3"/>
    <w:rsid w:val="0056368B"/>
    <w:rsid w:val="00563EF8"/>
    <w:rsid w:val="00564347"/>
    <w:rsid w:val="00564578"/>
    <w:rsid w:val="005653A0"/>
    <w:rsid w:val="005654B3"/>
    <w:rsid w:val="00565A01"/>
    <w:rsid w:val="00565EF6"/>
    <w:rsid w:val="00565F55"/>
    <w:rsid w:val="0056613E"/>
    <w:rsid w:val="00566575"/>
    <w:rsid w:val="005667BD"/>
    <w:rsid w:val="00566D9C"/>
    <w:rsid w:val="00567409"/>
    <w:rsid w:val="00567610"/>
    <w:rsid w:val="00567EED"/>
    <w:rsid w:val="00567FF2"/>
    <w:rsid w:val="00570431"/>
    <w:rsid w:val="005709F3"/>
    <w:rsid w:val="00570B54"/>
    <w:rsid w:val="00571684"/>
    <w:rsid w:val="005716CB"/>
    <w:rsid w:val="00571AF5"/>
    <w:rsid w:val="00572AFC"/>
    <w:rsid w:val="00573225"/>
    <w:rsid w:val="00573354"/>
    <w:rsid w:val="0057349F"/>
    <w:rsid w:val="00573C15"/>
    <w:rsid w:val="00573EF6"/>
    <w:rsid w:val="00574817"/>
    <w:rsid w:val="005748DB"/>
    <w:rsid w:val="005755D0"/>
    <w:rsid w:val="005755FB"/>
    <w:rsid w:val="00575D45"/>
    <w:rsid w:val="005767AD"/>
    <w:rsid w:val="00576874"/>
    <w:rsid w:val="00577702"/>
    <w:rsid w:val="00577D29"/>
    <w:rsid w:val="00577FEC"/>
    <w:rsid w:val="00580147"/>
    <w:rsid w:val="005803D3"/>
    <w:rsid w:val="00581396"/>
    <w:rsid w:val="005814EE"/>
    <w:rsid w:val="00581D9E"/>
    <w:rsid w:val="00581FD7"/>
    <w:rsid w:val="00582420"/>
    <w:rsid w:val="00582856"/>
    <w:rsid w:val="00582D97"/>
    <w:rsid w:val="00582F75"/>
    <w:rsid w:val="005830B1"/>
    <w:rsid w:val="005838D2"/>
    <w:rsid w:val="005839C0"/>
    <w:rsid w:val="00584310"/>
    <w:rsid w:val="00584379"/>
    <w:rsid w:val="00584574"/>
    <w:rsid w:val="005849A7"/>
    <w:rsid w:val="00584F99"/>
    <w:rsid w:val="005853C3"/>
    <w:rsid w:val="00585F59"/>
    <w:rsid w:val="0058616A"/>
    <w:rsid w:val="0058619A"/>
    <w:rsid w:val="00586372"/>
    <w:rsid w:val="00586ED8"/>
    <w:rsid w:val="00586F98"/>
    <w:rsid w:val="00587037"/>
    <w:rsid w:val="00587258"/>
    <w:rsid w:val="00587328"/>
    <w:rsid w:val="00590F47"/>
    <w:rsid w:val="005914F7"/>
    <w:rsid w:val="00591E25"/>
    <w:rsid w:val="005920E8"/>
    <w:rsid w:val="00592434"/>
    <w:rsid w:val="0059261F"/>
    <w:rsid w:val="00592801"/>
    <w:rsid w:val="00592E74"/>
    <w:rsid w:val="0059301C"/>
    <w:rsid w:val="00593334"/>
    <w:rsid w:val="005936D3"/>
    <w:rsid w:val="00593BE0"/>
    <w:rsid w:val="00593C15"/>
    <w:rsid w:val="0059471F"/>
    <w:rsid w:val="00594E97"/>
    <w:rsid w:val="00595024"/>
    <w:rsid w:val="00596505"/>
    <w:rsid w:val="00596539"/>
    <w:rsid w:val="00596CAB"/>
    <w:rsid w:val="005972B8"/>
    <w:rsid w:val="005975FA"/>
    <w:rsid w:val="005977E0"/>
    <w:rsid w:val="00597899"/>
    <w:rsid w:val="005978DE"/>
    <w:rsid w:val="005978EA"/>
    <w:rsid w:val="005A0239"/>
    <w:rsid w:val="005A03CF"/>
    <w:rsid w:val="005A041A"/>
    <w:rsid w:val="005A0908"/>
    <w:rsid w:val="005A0BA4"/>
    <w:rsid w:val="005A0DC1"/>
    <w:rsid w:val="005A0F2A"/>
    <w:rsid w:val="005A1277"/>
    <w:rsid w:val="005A13A6"/>
    <w:rsid w:val="005A184B"/>
    <w:rsid w:val="005A1980"/>
    <w:rsid w:val="005A2075"/>
    <w:rsid w:val="005A22EB"/>
    <w:rsid w:val="005A2489"/>
    <w:rsid w:val="005A2968"/>
    <w:rsid w:val="005A29BB"/>
    <w:rsid w:val="005A2CBB"/>
    <w:rsid w:val="005A2E61"/>
    <w:rsid w:val="005A2EE7"/>
    <w:rsid w:val="005A2EF7"/>
    <w:rsid w:val="005A32EC"/>
    <w:rsid w:val="005A3372"/>
    <w:rsid w:val="005A35F4"/>
    <w:rsid w:val="005A4475"/>
    <w:rsid w:val="005A48DB"/>
    <w:rsid w:val="005A4D2B"/>
    <w:rsid w:val="005A4D74"/>
    <w:rsid w:val="005A506C"/>
    <w:rsid w:val="005A5282"/>
    <w:rsid w:val="005A5569"/>
    <w:rsid w:val="005A5961"/>
    <w:rsid w:val="005A5AD5"/>
    <w:rsid w:val="005A5DFF"/>
    <w:rsid w:val="005A616D"/>
    <w:rsid w:val="005A69E7"/>
    <w:rsid w:val="005A6E02"/>
    <w:rsid w:val="005A7869"/>
    <w:rsid w:val="005A791B"/>
    <w:rsid w:val="005A7CC8"/>
    <w:rsid w:val="005B09AD"/>
    <w:rsid w:val="005B0AC3"/>
    <w:rsid w:val="005B0B40"/>
    <w:rsid w:val="005B0BD1"/>
    <w:rsid w:val="005B0D3D"/>
    <w:rsid w:val="005B0E95"/>
    <w:rsid w:val="005B103E"/>
    <w:rsid w:val="005B10FA"/>
    <w:rsid w:val="005B1538"/>
    <w:rsid w:val="005B1A3B"/>
    <w:rsid w:val="005B1F35"/>
    <w:rsid w:val="005B2024"/>
    <w:rsid w:val="005B20AE"/>
    <w:rsid w:val="005B2735"/>
    <w:rsid w:val="005B2937"/>
    <w:rsid w:val="005B29C2"/>
    <w:rsid w:val="005B2BED"/>
    <w:rsid w:val="005B31B6"/>
    <w:rsid w:val="005B31E4"/>
    <w:rsid w:val="005B3A48"/>
    <w:rsid w:val="005B3EA6"/>
    <w:rsid w:val="005B408B"/>
    <w:rsid w:val="005B40AD"/>
    <w:rsid w:val="005B4554"/>
    <w:rsid w:val="005B4FAB"/>
    <w:rsid w:val="005B4FCC"/>
    <w:rsid w:val="005B50A4"/>
    <w:rsid w:val="005B5115"/>
    <w:rsid w:val="005B538A"/>
    <w:rsid w:val="005B56C8"/>
    <w:rsid w:val="005B5E6B"/>
    <w:rsid w:val="005B5FC4"/>
    <w:rsid w:val="005B60D3"/>
    <w:rsid w:val="005B691B"/>
    <w:rsid w:val="005B77D9"/>
    <w:rsid w:val="005B7A25"/>
    <w:rsid w:val="005B7CFF"/>
    <w:rsid w:val="005B7F47"/>
    <w:rsid w:val="005C006E"/>
    <w:rsid w:val="005C01B2"/>
    <w:rsid w:val="005C149F"/>
    <w:rsid w:val="005C1776"/>
    <w:rsid w:val="005C18D9"/>
    <w:rsid w:val="005C1EBC"/>
    <w:rsid w:val="005C1FAE"/>
    <w:rsid w:val="005C256A"/>
    <w:rsid w:val="005C27C2"/>
    <w:rsid w:val="005C2D73"/>
    <w:rsid w:val="005C2F0E"/>
    <w:rsid w:val="005C2F57"/>
    <w:rsid w:val="005C2F90"/>
    <w:rsid w:val="005C3E3D"/>
    <w:rsid w:val="005C4026"/>
    <w:rsid w:val="005C4038"/>
    <w:rsid w:val="005C42C9"/>
    <w:rsid w:val="005C42F5"/>
    <w:rsid w:val="005C4636"/>
    <w:rsid w:val="005C4772"/>
    <w:rsid w:val="005C4A94"/>
    <w:rsid w:val="005C4D35"/>
    <w:rsid w:val="005C5323"/>
    <w:rsid w:val="005C55A5"/>
    <w:rsid w:val="005C57B0"/>
    <w:rsid w:val="005C5C22"/>
    <w:rsid w:val="005C5D06"/>
    <w:rsid w:val="005C6195"/>
    <w:rsid w:val="005C6284"/>
    <w:rsid w:val="005C62F3"/>
    <w:rsid w:val="005C69EC"/>
    <w:rsid w:val="005C6B5B"/>
    <w:rsid w:val="005C6DDB"/>
    <w:rsid w:val="005C7D42"/>
    <w:rsid w:val="005D0763"/>
    <w:rsid w:val="005D0E45"/>
    <w:rsid w:val="005D0E7C"/>
    <w:rsid w:val="005D0EC4"/>
    <w:rsid w:val="005D176C"/>
    <w:rsid w:val="005D1A1A"/>
    <w:rsid w:val="005D208F"/>
    <w:rsid w:val="005D288E"/>
    <w:rsid w:val="005D31FE"/>
    <w:rsid w:val="005D39EF"/>
    <w:rsid w:val="005D3D48"/>
    <w:rsid w:val="005D40E6"/>
    <w:rsid w:val="005D43F4"/>
    <w:rsid w:val="005D4678"/>
    <w:rsid w:val="005D4685"/>
    <w:rsid w:val="005D4961"/>
    <w:rsid w:val="005D4973"/>
    <w:rsid w:val="005D5352"/>
    <w:rsid w:val="005D5E02"/>
    <w:rsid w:val="005D617C"/>
    <w:rsid w:val="005D62F5"/>
    <w:rsid w:val="005D6569"/>
    <w:rsid w:val="005D695D"/>
    <w:rsid w:val="005D6999"/>
    <w:rsid w:val="005D6B24"/>
    <w:rsid w:val="005D6DF9"/>
    <w:rsid w:val="005D7A9F"/>
    <w:rsid w:val="005D7AA9"/>
    <w:rsid w:val="005D7D69"/>
    <w:rsid w:val="005E0368"/>
    <w:rsid w:val="005E0829"/>
    <w:rsid w:val="005E0C14"/>
    <w:rsid w:val="005E1270"/>
    <w:rsid w:val="005E1779"/>
    <w:rsid w:val="005E1FDF"/>
    <w:rsid w:val="005E2180"/>
    <w:rsid w:val="005E228D"/>
    <w:rsid w:val="005E2659"/>
    <w:rsid w:val="005E27A4"/>
    <w:rsid w:val="005E310E"/>
    <w:rsid w:val="005E35A3"/>
    <w:rsid w:val="005E3977"/>
    <w:rsid w:val="005E4669"/>
    <w:rsid w:val="005E476E"/>
    <w:rsid w:val="005E4DEA"/>
    <w:rsid w:val="005E4F70"/>
    <w:rsid w:val="005E5013"/>
    <w:rsid w:val="005E50F0"/>
    <w:rsid w:val="005E5927"/>
    <w:rsid w:val="005E5E4D"/>
    <w:rsid w:val="005E5EF0"/>
    <w:rsid w:val="005E622A"/>
    <w:rsid w:val="005E63A5"/>
    <w:rsid w:val="005E670F"/>
    <w:rsid w:val="005E6765"/>
    <w:rsid w:val="005E6B5D"/>
    <w:rsid w:val="005E7159"/>
    <w:rsid w:val="005E75C4"/>
    <w:rsid w:val="005E76D4"/>
    <w:rsid w:val="005E7C9E"/>
    <w:rsid w:val="005F086B"/>
    <w:rsid w:val="005F0AEC"/>
    <w:rsid w:val="005F0EDB"/>
    <w:rsid w:val="005F0EE9"/>
    <w:rsid w:val="005F11CC"/>
    <w:rsid w:val="005F121F"/>
    <w:rsid w:val="005F1A40"/>
    <w:rsid w:val="005F23C8"/>
    <w:rsid w:val="005F2547"/>
    <w:rsid w:val="005F2C74"/>
    <w:rsid w:val="005F31BC"/>
    <w:rsid w:val="005F34D0"/>
    <w:rsid w:val="005F35BB"/>
    <w:rsid w:val="005F3781"/>
    <w:rsid w:val="005F3C70"/>
    <w:rsid w:val="005F403F"/>
    <w:rsid w:val="005F46B9"/>
    <w:rsid w:val="005F4AF3"/>
    <w:rsid w:val="005F5220"/>
    <w:rsid w:val="005F568B"/>
    <w:rsid w:val="005F5B75"/>
    <w:rsid w:val="005F5D82"/>
    <w:rsid w:val="005F62A3"/>
    <w:rsid w:val="005F7A77"/>
    <w:rsid w:val="005F7FFE"/>
    <w:rsid w:val="006000F1"/>
    <w:rsid w:val="0060100E"/>
    <w:rsid w:val="00601749"/>
    <w:rsid w:val="00601D40"/>
    <w:rsid w:val="00602173"/>
    <w:rsid w:val="00602457"/>
    <w:rsid w:val="00602940"/>
    <w:rsid w:val="00602AFE"/>
    <w:rsid w:val="00602D74"/>
    <w:rsid w:val="006036CB"/>
    <w:rsid w:val="006038DD"/>
    <w:rsid w:val="00603FEF"/>
    <w:rsid w:val="00604640"/>
    <w:rsid w:val="006048BC"/>
    <w:rsid w:val="006048F2"/>
    <w:rsid w:val="00604979"/>
    <w:rsid w:val="006049B3"/>
    <w:rsid w:val="00604B14"/>
    <w:rsid w:val="00604C88"/>
    <w:rsid w:val="00604F9B"/>
    <w:rsid w:val="00605674"/>
    <w:rsid w:val="0060578F"/>
    <w:rsid w:val="006057B1"/>
    <w:rsid w:val="006057FE"/>
    <w:rsid w:val="00605C67"/>
    <w:rsid w:val="00605CE4"/>
    <w:rsid w:val="00605F0E"/>
    <w:rsid w:val="0060635A"/>
    <w:rsid w:val="00606577"/>
    <w:rsid w:val="006065DC"/>
    <w:rsid w:val="00606602"/>
    <w:rsid w:val="00606738"/>
    <w:rsid w:val="00606868"/>
    <w:rsid w:val="006069AC"/>
    <w:rsid w:val="00607773"/>
    <w:rsid w:val="006077EA"/>
    <w:rsid w:val="006079E4"/>
    <w:rsid w:val="00610062"/>
    <w:rsid w:val="0061057F"/>
    <w:rsid w:val="00610D57"/>
    <w:rsid w:val="00610DCE"/>
    <w:rsid w:val="0061139F"/>
    <w:rsid w:val="00611BED"/>
    <w:rsid w:val="006122CF"/>
    <w:rsid w:val="00612321"/>
    <w:rsid w:val="006125E5"/>
    <w:rsid w:val="00613B17"/>
    <w:rsid w:val="00614528"/>
    <w:rsid w:val="0061488B"/>
    <w:rsid w:val="00614C35"/>
    <w:rsid w:val="00614E9F"/>
    <w:rsid w:val="0061506A"/>
    <w:rsid w:val="006156BD"/>
    <w:rsid w:val="006157ED"/>
    <w:rsid w:val="00615A52"/>
    <w:rsid w:val="00615CD4"/>
    <w:rsid w:val="00616F9A"/>
    <w:rsid w:val="00617014"/>
    <w:rsid w:val="00620361"/>
    <w:rsid w:val="006207C8"/>
    <w:rsid w:val="00620841"/>
    <w:rsid w:val="00620975"/>
    <w:rsid w:val="00621742"/>
    <w:rsid w:val="0062195D"/>
    <w:rsid w:val="00621BFC"/>
    <w:rsid w:val="00622DD6"/>
    <w:rsid w:val="00622F77"/>
    <w:rsid w:val="00623FBC"/>
    <w:rsid w:val="00624094"/>
    <w:rsid w:val="006241E0"/>
    <w:rsid w:val="00624EDB"/>
    <w:rsid w:val="006251D6"/>
    <w:rsid w:val="006259C6"/>
    <w:rsid w:val="00625DF2"/>
    <w:rsid w:val="00625E3E"/>
    <w:rsid w:val="00626393"/>
    <w:rsid w:val="00626737"/>
    <w:rsid w:val="00626A48"/>
    <w:rsid w:val="00626AE8"/>
    <w:rsid w:val="00627549"/>
    <w:rsid w:val="00627CDB"/>
    <w:rsid w:val="00627D7A"/>
    <w:rsid w:val="00627E6A"/>
    <w:rsid w:val="00627ECA"/>
    <w:rsid w:val="0063044C"/>
    <w:rsid w:val="006306AA"/>
    <w:rsid w:val="00630993"/>
    <w:rsid w:val="00630A55"/>
    <w:rsid w:val="00630FB3"/>
    <w:rsid w:val="00631548"/>
    <w:rsid w:val="00631DEE"/>
    <w:rsid w:val="0063227D"/>
    <w:rsid w:val="006322C8"/>
    <w:rsid w:val="006325FC"/>
    <w:rsid w:val="00632707"/>
    <w:rsid w:val="006327FF"/>
    <w:rsid w:val="00632871"/>
    <w:rsid w:val="006333E0"/>
    <w:rsid w:val="00633C30"/>
    <w:rsid w:val="0063403F"/>
    <w:rsid w:val="006343EE"/>
    <w:rsid w:val="006354E8"/>
    <w:rsid w:val="0063552F"/>
    <w:rsid w:val="006356BC"/>
    <w:rsid w:val="00635D74"/>
    <w:rsid w:val="00635DDD"/>
    <w:rsid w:val="00635FB3"/>
    <w:rsid w:val="0063613B"/>
    <w:rsid w:val="00636200"/>
    <w:rsid w:val="006365BA"/>
    <w:rsid w:val="00636C8D"/>
    <w:rsid w:val="0063703D"/>
    <w:rsid w:val="006374E5"/>
    <w:rsid w:val="00637514"/>
    <w:rsid w:val="006406A2"/>
    <w:rsid w:val="00640A76"/>
    <w:rsid w:val="00640D62"/>
    <w:rsid w:val="00640F46"/>
    <w:rsid w:val="00641049"/>
    <w:rsid w:val="006417E1"/>
    <w:rsid w:val="00641A1B"/>
    <w:rsid w:val="00642680"/>
    <w:rsid w:val="006428CE"/>
    <w:rsid w:val="00642AC3"/>
    <w:rsid w:val="00642B6A"/>
    <w:rsid w:val="006433C6"/>
    <w:rsid w:val="00644784"/>
    <w:rsid w:val="0064490B"/>
    <w:rsid w:val="00645020"/>
    <w:rsid w:val="006458E6"/>
    <w:rsid w:val="00646793"/>
    <w:rsid w:val="00646825"/>
    <w:rsid w:val="00646BCA"/>
    <w:rsid w:val="00646F1F"/>
    <w:rsid w:val="006470B3"/>
    <w:rsid w:val="0064743B"/>
    <w:rsid w:val="006479E0"/>
    <w:rsid w:val="00647A3E"/>
    <w:rsid w:val="00647B52"/>
    <w:rsid w:val="00647D47"/>
    <w:rsid w:val="00647EE7"/>
    <w:rsid w:val="00650261"/>
    <w:rsid w:val="00650730"/>
    <w:rsid w:val="00650B8B"/>
    <w:rsid w:val="00650FDD"/>
    <w:rsid w:val="006511C3"/>
    <w:rsid w:val="00651444"/>
    <w:rsid w:val="006514EA"/>
    <w:rsid w:val="0065158C"/>
    <w:rsid w:val="006515E3"/>
    <w:rsid w:val="00651636"/>
    <w:rsid w:val="00651E07"/>
    <w:rsid w:val="00651E6A"/>
    <w:rsid w:val="00653403"/>
    <w:rsid w:val="006535D3"/>
    <w:rsid w:val="006536F5"/>
    <w:rsid w:val="006537D1"/>
    <w:rsid w:val="006542D8"/>
    <w:rsid w:val="00654E81"/>
    <w:rsid w:val="0065550B"/>
    <w:rsid w:val="006557C2"/>
    <w:rsid w:val="00656065"/>
    <w:rsid w:val="00656235"/>
    <w:rsid w:val="006562CE"/>
    <w:rsid w:val="0065630E"/>
    <w:rsid w:val="00656888"/>
    <w:rsid w:val="00656FA5"/>
    <w:rsid w:val="0065703D"/>
    <w:rsid w:val="00657150"/>
    <w:rsid w:val="0065741E"/>
    <w:rsid w:val="00657506"/>
    <w:rsid w:val="006576F3"/>
    <w:rsid w:val="00657CEB"/>
    <w:rsid w:val="00657CFA"/>
    <w:rsid w:val="00657EB8"/>
    <w:rsid w:val="006602BA"/>
    <w:rsid w:val="0066032B"/>
    <w:rsid w:val="0066034A"/>
    <w:rsid w:val="0066089F"/>
    <w:rsid w:val="00660EEB"/>
    <w:rsid w:val="00660F48"/>
    <w:rsid w:val="006611C3"/>
    <w:rsid w:val="0066123B"/>
    <w:rsid w:val="00661269"/>
    <w:rsid w:val="0066151C"/>
    <w:rsid w:val="00661541"/>
    <w:rsid w:val="006621DD"/>
    <w:rsid w:val="00662280"/>
    <w:rsid w:val="00662314"/>
    <w:rsid w:val="00662738"/>
    <w:rsid w:val="00662EFD"/>
    <w:rsid w:val="006630A6"/>
    <w:rsid w:val="006630F2"/>
    <w:rsid w:val="00663248"/>
    <w:rsid w:val="00663531"/>
    <w:rsid w:val="0066381F"/>
    <w:rsid w:val="00663A5A"/>
    <w:rsid w:val="00663E07"/>
    <w:rsid w:val="006643AE"/>
    <w:rsid w:val="00664A13"/>
    <w:rsid w:val="00664C78"/>
    <w:rsid w:val="006653D5"/>
    <w:rsid w:val="0066552C"/>
    <w:rsid w:val="00665654"/>
    <w:rsid w:val="00666190"/>
    <w:rsid w:val="00666388"/>
    <w:rsid w:val="00666466"/>
    <w:rsid w:val="00666708"/>
    <w:rsid w:val="00666C48"/>
    <w:rsid w:val="00666D3B"/>
    <w:rsid w:val="0066701A"/>
    <w:rsid w:val="006672C1"/>
    <w:rsid w:val="00667649"/>
    <w:rsid w:val="00667DA6"/>
    <w:rsid w:val="00670592"/>
    <w:rsid w:val="00670A28"/>
    <w:rsid w:val="00670ACD"/>
    <w:rsid w:val="00670BC9"/>
    <w:rsid w:val="00670C17"/>
    <w:rsid w:val="00671301"/>
    <w:rsid w:val="006713F2"/>
    <w:rsid w:val="00671BE1"/>
    <w:rsid w:val="00672356"/>
    <w:rsid w:val="0067257B"/>
    <w:rsid w:val="00672906"/>
    <w:rsid w:val="00672A49"/>
    <w:rsid w:val="00672E05"/>
    <w:rsid w:val="00673A59"/>
    <w:rsid w:val="0067565C"/>
    <w:rsid w:val="006757BF"/>
    <w:rsid w:val="00675952"/>
    <w:rsid w:val="00675970"/>
    <w:rsid w:val="00675995"/>
    <w:rsid w:val="006759B0"/>
    <w:rsid w:val="00675EB1"/>
    <w:rsid w:val="00676033"/>
    <w:rsid w:val="0067698A"/>
    <w:rsid w:val="00676C6A"/>
    <w:rsid w:val="00676F19"/>
    <w:rsid w:val="006775BF"/>
    <w:rsid w:val="0067779F"/>
    <w:rsid w:val="00680106"/>
    <w:rsid w:val="00680163"/>
    <w:rsid w:val="0068108E"/>
    <w:rsid w:val="006810E5"/>
    <w:rsid w:val="0068112C"/>
    <w:rsid w:val="006813A2"/>
    <w:rsid w:val="00681AE5"/>
    <w:rsid w:val="00681B39"/>
    <w:rsid w:val="00681ED1"/>
    <w:rsid w:val="00681F36"/>
    <w:rsid w:val="00682222"/>
    <w:rsid w:val="00682701"/>
    <w:rsid w:val="006828F7"/>
    <w:rsid w:val="00682D7E"/>
    <w:rsid w:val="00682FD2"/>
    <w:rsid w:val="00683B20"/>
    <w:rsid w:val="00683E19"/>
    <w:rsid w:val="0068483B"/>
    <w:rsid w:val="00684861"/>
    <w:rsid w:val="00684C76"/>
    <w:rsid w:val="00684E24"/>
    <w:rsid w:val="00685905"/>
    <w:rsid w:val="0068615C"/>
    <w:rsid w:val="00686C78"/>
    <w:rsid w:val="00686E8F"/>
    <w:rsid w:val="0068725B"/>
    <w:rsid w:val="00687A53"/>
    <w:rsid w:val="00687CA7"/>
    <w:rsid w:val="0069075C"/>
    <w:rsid w:val="00690BDC"/>
    <w:rsid w:val="00690E1D"/>
    <w:rsid w:val="006917AD"/>
    <w:rsid w:val="00692FA6"/>
    <w:rsid w:val="00693125"/>
    <w:rsid w:val="006933FC"/>
    <w:rsid w:val="006933FE"/>
    <w:rsid w:val="00693498"/>
    <w:rsid w:val="00693541"/>
    <w:rsid w:val="006944D1"/>
    <w:rsid w:val="006946A9"/>
    <w:rsid w:val="006948F1"/>
    <w:rsid w:val="00694C0E"/>
    <w:rsid w:val="00694EE7"/>
    <w:rsid w:val="00695FE9"/>
    <w:rsid w:val="00696069"/>
    <w:rsid w:val="00696081"/>
    <w:rsid w:val="0069629C"/>
    <w:rsid w:val="00696436"/>
    <w:rsid w:val="00696D7F"/>
    <w:rsid w:val="0069743F"/>
    <w:rsid w:val="0069754A"/>
    <w:rsid w:val="006976ED"/>
    <w:rsid w:val="00697B3C"/>
    <w:rsid w:val="00697FA2"/>
    <w:rsid w:val="006A001A"/>
    <w:rsid w:val="006A01D3"/>
    <w:rsid w:val="006A0507"/>
    <w:rsid w:val="006A0721"/>
    <w:rsid w:val="006A0818"/>
    <w:rsid w:val="006A0A5C"/>
    <w:rsid w:val="006A0C72"/>
    <w:rsid w:val="006A1551"/>
    <w:rsid w:val="006A1879"/>
    <w:rsid w:val="006A18E5"/>
    <w:rsid w:val="006A1B77"/>
    <w:rsid w:val="006A1BCD"/>
    <w:rsid w:val="006A20C0"/>
    <w:rsid w:val="006A27F7"/>
    <w:rsid w:val="006A28F4"/>
    <w:rsid w:val="006A2C4D"/>
    <w:rsid w:val="006A2E30"/>
    <w:rsid w:val="006A3A9B"/>
    <w:rsid w:val="006A42C9"/>
    <w:rsid w:val="006A4469"/>
    <w:rsid w:val="006A477A"/>
    <w:rsid w:val="006A47B9"/>
    <w:rsid w:val="006A49A2"/>
    <w:rsid w:val="006A54DE"/>
    <w:rsid w:val="006A54F7"/>
    <w:rsid w:val="006A5E4C"/>
    <w:rsid w:val="006A66CD"/>
    <w:rsid w:val="006A6DF2"/>
    <w:rsid w:val="006A71F8"/>
    <w:rsid w:val="006A7555"/>
    <w:rsid w:val="006A7A57"/>
    <w:rsid w:val="006A7DFF"/>
    <w:rsid w:val="006A7E61"/>
    <w:rsid w:val="006A7F05"/>
    <w:rsid w:val="006B0361"/>
    <w:rsid w:val="006B03C7"/>
    <w:rsid w:val="006B0419"/>
    <w:rsid w:val="006B0946"/>
    <w:rsid w:val="006B0CDB"/>
    <w:rsid w:val="006B0D79"/>
    <w:rsid w:val="006B1015"/>
    <w:rsid w:val="006B1532"/>
    <w:rsid w:val="006B15BB"/>
    <w:rsid w:val="006B1A28"/>
    <w:rsid w:val="006B1A90"/>
    <w:rsid w:val="006B1B49"/>
    <w:rsid w:val="006B1D3E"/>
    <w:rsid w:val="006B2401"/>
    <w:rsid w:val="006B24B4"/>
    <w:rsid w:val="006B29F0"/>
    <w:rsid w:val="006B2F90"/>
    <w:rsid w:val="006B312A"/>
    <w:rsid w:val="006B36FC"/>
    <w:rsid w:val="006B3826"/>
    <w:rsid w:val="006B3F55"/>
    <w:rsid w:val="006B439C"/>
    <w:rsid w:val="006B4E0A"/>
    <w:rsid w:val="006B5028"/>
    <w:rsid w:val="006B53E6"/>
    <w:rsid w:val="006B54E4"/>
    <w:rsid w:val="006B550F"/>
    <w:rsid w:val="006B56F1"/>
    <w:rsid w:val="006B59D0"/>
    <w:rsid w:val="006B64C3"/>
    <w:rsid w:val="006B6841"/>
    <w:rsid w:val="006B7286"/>
    <w:rsid w:val="006B7BA0"/>
    <w:rsid w:val="006B7C65"/>
    <w:rsid w:val="006C021F"/>
    <w:rsid w:val="006C0486"/>
    <w:rsid w:val="006C04F4"/>
    <w:rsid w:val="006C068F"/>
    <w:rsid w:val="006C07D8"/>
    <w:rsid w:val="006C0B1F"/>
    <w:rsid w:val="006C15CF"/>
    <w:rsid w:val="006C188C"/>
    <w:rsid w:val="006C1924"/>
    <w:rsid w:val="006C206E"/>
    <w:rsid w:val="006C2533"/>
    <w:rsid w:val="006C33FC"/>
    <w:rsid w:val="006C40B0"/>
    <w:rsid w:val="006C4840"/>
    <w:rsid w:val="006C4FF6"/>
    <w:rsid w:val="006C5680"/>
    <w:rsid w:val="006C5AD4"/>
    <w:rsid w:val="006C652A"/>
    <w:rsid w:val="006C684E"/>
    <w:rsid w:val="006D0E4A"/>
    <w:rsid w:val="006D1021"/>
    <w:rsid w:val="006D13B1"/>
    <w:rsid w:val="006D179A"/>
    <w:rsid w:val="006D1A4F"/>
    <w:rsid w:val="006D1C37"/>
    <w:rsid w:val="006D1E80"/>
    <w:rsid w:val="006D23F3"/>
    <w:rsid w:val="006D2909"/>
    <w:rsid w:val="006D29B1"/>
    <w:rsid w:val="006D2BAA"/>
    <w:rsid w:val="006D2E74"/>
    <w:rsid w:val="006D2F4B"/>
    <w:rsid w:val="006D311C"/>
    <w:rsid w:val="006D390F"/>
    <w:rsid w:val="006D3CDA"/>
    <w:rsid w:val="006D3D42"/>
    <w:rsid w:val="006D3DC3"/>
    <w:rsid w:val="006D4300"/>
    <w:rsid w:val="006D5397"/>
    <w:rsid w:val="006D58C5"/>
    <w:rsid w:val="006D5E8B"/>
    <w:rsid w:val="006D5EA4"/>
    <w:rsid w:val="006D655D"/>
    <w:rsid w:val="006D68DC"/>
    <w:rsid w:val="006D6C4F"/>
    <w:rsid w:val="006D6CBC"/>
    <w:rsid w:val="006D75C8"/>
    <w:rsid w:val="006D7C5C"/>
    <w:rsid w:val="006E0AD8"/>
    <w:rsid w:val="006E0C09"/>
    <w:rsid w:val="006E0CFC"/>
    <w:rsid w:val="006E0E3C"/>
    <w:rsid w:val="006E1174"/>
    <w:rsid w:val="006E1300"/>
    <w:rsid w:val="006E16FA"/>
    <w:rsid w:val="006E1A75"/>
    <w:rsid w:val="006E1D6E"/>
    <w:rsid w:val="006E297A"/>
    <w:rsid w:val="006E2A1C"/>
    <w:rsid w:val="006E2C09"/>
    <w:rsid w:val="006E3172"/>
    <w:rsid w:val="006E3226"/>
    <w:rsid w:val="006E32A1"/>
    <w:rsid w:val="006E3981"/>
    <w:rsid w:val="006E3B61"/>
    <w:rsid w:val="006E3F4B"/>
    <w:rsid w:val="006E3F4F"/>
    <w:rsid w:val="006E4567"/>
    <w:rsid w:val="006E45AF"/>
    <w:rsid w:val="006E465B"/>
    <w:rsid w:val="006E4A7A"/>
    <w:rsid w:val="006E4DE0"/>
    <w:rsid w:val="006E538C"/>
    <w:rsid w:val="006E583C"/>
    <w:rsid w:val="006E5886"/>
    <w:rsid w:val="006E670F"/>
    <w:rsid w:val="006E7345"/>
    <w:rsid w:val="006F06F4"/>
    <w:rsid w:val="006F0961"/>
    <w:rsid w:val="006F0BD8"/>
    <w:rsid w:val="006F0E20"/>
    <w:rsid w:val="006F12CE"/>
    <w:rsid w:val="006F1526"/>
    <w:rsid w:val="006F153C"/>
    <w:rsid w:val="006F183B"/>
    <w:rsid w:val="006F190F"/>
    <w:rsid w:val="006F208F"/>
    <w:rsid w:val="006F2695"/>
    <w:rsid w:val="006F27A5"/>
    <w:rsid w:val="006F3621"/>
    <w:rsid w:val="006F377A"/>
    <w:rsid w:val="006F3A0C"/>
    <w:rsid w:val="006F3B7C"/>
    <w:rsid w:val="006F3D8D"/>
    <w:rsid w:val="006F3E54"/>
    <w:rsid w:val="006F45BC"/>
    <w:rsid w:val="006F46C5"/>
    <w:rsid w:val="006F5389"/>
    <w:rsid w:val="006F54C0"/>
    <w:rsid w:val="006F57F3"/>
    <w:rsid w:val="006F5A04"/>
    <w:rsid w:val="006F6D1A"/>
    <w:rsid w:val="006F710C"/>
    <w:rsid w:val="006F72DE"/>
    <w:rsid w:val="006F73BC"/>
    <w:rsid w:val="006F7B90"/>
    <w:rsid w:val="0070046B"/>
    <w:rsid w:val="00700BDB"/>
    <w:rsid w:val="00700D69"/>
    <w:rsid w:val="00701400"/>
    <w:rsid w:val="0070150B"/>
    <w:rsid w:val="0070169B"/>
    <w:rsid w:val="00702204"/>
    <w:rsid w:val="00702A5E"/>
    <w:rsid w:val="00702BD0"/>
    <w:rsid w:val="0070340D"/>
    <w:rsid w:val="00703582"/>
    <w:rsid w:val="00703963"/>
    <w:rsid w:val="00703E1C"/>
    <w:rsid w:val="00704B7A"/>
    <w:rsid w:val="00704F6D"/>
    <w:rsid w:val="007054B6"/>
    <w:rsid w:val="00705959"/>
    <w:rsid w:val="00706464"/>
    <w:rsid w:val="0070737A"/>
    <w:rsid w:val="007075C5"/>
    <w:rsid w:val="00707D80"/>
    <w:rsid w:val="00707F07"/>
    <w:rsid w:val="00710936"/>
    <w:rsid w:val="00710BAF"/>
    <w:rsid w:val="007110D1"/>
    <w:rsid w:val="00711108"/>
    <w:rsid w:val="00711C87"/>
    <w:rsid w:val="00712D41"/>
    <w:rsid w:val="00712D81"/>
    <w:rsid w:val="007137A6"/>
    <w:rsid w:val="00714643"/>
    <w:rsid w:val="007148A4"/>
    <w:rsid w:val="0071509B"/>
    <w:rsid w:val="0071523F"/>
    <w:rsid w:val="00715311"/>
    <w:rsid w:val="007156D8"/>
    <w:rsid w:val="00715A68"/>
    <w:rsid w:val="00715C8D"/>
    <w:rsid w:val="00715FAB"/>
    <w:rsid w:val="0071678A"/>
    <w:rsid w:val="00716896"/>
    <w:rsid w:val="00716A6B"/>
    <w:rsid w:val="00716C67"/>
    <w:rsid w:val="00717983"/>
    <w:rsid w:val="00720172"/>
    <w:rsid w:val="007202C0"/>
    <w:rsid w:val="00721121"/>
    <w:rsid w:val="0072132F"/>
    <w:rsid w:val="00721461"/>
    <w:rsid w:val="0072167B"/>
    <w:rsid w:val="007219C9"/>
    <w:rsid w:val="00721C60"/>
    <w:rsid w:val="00721E72"/>
    <w:rsid w:val="007226E9"/>
    <w:rsid w:val="00722F54"/>
    <w:rsid w:val="00723323"/>
    <w:rsid w:val="00723869"/>
    <w:rsid w:val="0072392A"/>
    <w:rsid w:val="007251C4"/>
    <w:rsid w:val="0072521A"/>
    <w:rsid w:val="007257E2"/>
    <w:rsid w:val="00725837"/>
    <w:rsid w:val="00725B93"/>
    <w:rsid w:val="00725E2A"/>
    <w:rsid w:val="00725F38"/>
    <w:rsid w:val="0072605C"/>
    <w:rsid w:val="007260F8"/>
    <w:rsid w:val="007261CD"/>
    <w:rsid w:val="007262C6"/>
    <w:rsid w:val="007262FC"/>
    <w:rsid w:val="00726671"/>
    <w:rsid w:val="00726CEF"/>
    <w:rsid w:val="00727537"/>
    <w:rsid w:val="00727BA1"/>
    <w:rsid w:val="0073015C"/>
    <w:rsid w:val="00730264"/>
    <w:rsid w:val="007303CA"/>
    <w:rsid w:val="00730450"/>
    <w:rsid w:val="00730C56"/>
    <w:rsid w:val="00730E58"/>
    <w:rsid w:val="0073137F"/>
    <w:rsid w:val="00731436"/>
    <w:rsid w:val="007329AE"/>
    <w:rsid w:val="00732C26"/>
    <w:rsid w:val="00732FB5"/>
    <w:rsid w:val="00733418"/>
    <w:rsid w:val="00733622"/>
    <w:rsid w:val="007339C9"/>
    <w:rsid w:val="00733F53"/>
    <w:rsid w:val="007340C6"/>
    <w:rsid w:val="007342BF"/>
    <w:rsid w:val="0073475F"/>
    <w:rsid w:val="00734DDD"/>
    <w:rsid w:val="00735044"/>
    <w:rsid w:val="00735563"/>
    <w:rsid w:val="00735731"/>
    <w:rsid w:val="0073584E"/>
    <w:rsid w:val="00735F3D"/>
    <w:rsid w:val="00736504"/>
    <w:rsid w:val="0073666A"/>
    <w:rsid w:val="00736A89"/>
    <w:rsid w:val="00736B8B"/>
    <w:rsid w:val="00737589"/>
    <w:rsid w:val="007378DA"/>
    <w:rsid w:val="00737929"/>
    <w:rsid w:val="00737CE6"/>
    <w:rsid w:val="00737D81"/>
    <w:rsid w:val="00737FC9"/>
    <w:rsid w:val="00740353"/>
    <w:rsid w:val="007403D2"/>
    <w:rsid w:val="00740968"/>
    <w:rsid w:val="00740BC4"/>
    <w:rsid w:val="00740E44"/>
    <w:rsid w:val="00740E9A"/>
    <w:rsid w:val="0074112C"/>
    <w:rsid w:val="007412E4"/>
    <w:rsid w:val="00741317"/>
    <w:rsid w:val="007413A4"/>
    <w:rsid w:val="00741E44"/>
    <w:rsid w:val="00742702"/>
    <w:rsid w:val="00742A23"/>
    <w:rsid w:val="00742B42"/>
    <w:rsid w:val="00742EB7"/>
    <w:rsid w:val="0074359E"/>
    <w:rsid w:val="00743F17"/>
    <w:rsid w:val="00743F9A"/>
    <w:rsid w:val="00744092"/>
    <w:rsid w:val="007440A5"/>
    <w:rsid w:val="00744555"/>
    <w:rsid w:val="00744856"/>
    <w:rsid w:val="00744A37"/>
    <w:rsid w:val="00745175"/>
    <w:rsid w:val="0074650C"/>
    <w:rsid w:val="00746B8F"/>
    <w:rsid w:val="00746B96"/>
    <w:rsid w:val="00746CBE"/>
    <w:rsid w:val="00746D8D"/>
    <w:rsid w:val="00746EA6"/>
    <w:rsid w:val="007472B4"/>
    <w:rsid w:val="00747EE6"/>
    <w:rsid w:val="00747FAB"/>
    <w:rsid w:val="007500D4"/>
    <w:rsid w:val="0075084B"/>
    <w:rsid w:val="00750F4C"/>
    <w:rsid w:val="00751848"/>
    <w:rsid w:val="00751C0A"/>
    <w:rsid w:val="0075241F"/>
    <w:rsid w:val="00752753"/>
    <w:rsid w:val="007529AC"/>
    <w:rsid w:val="00753E4C"/>
    <w:rsid w:val="007544D8"/>
    <w:rsid w:val="00754546"/>
    <w:rsid w:val="00754DA7"/>
    <w:rsid w:val="0075508C"/>
    <w:rsid w:val="007554DD"/>
    <w:rsid w:val="00755578"/>
    <w:rsid w:val="007557FA"/>
    <w:rsid w:val="007558CD"/>
    <w:rsid w:val="00755C89"/>
    <w:rsid w:val="00755F19"/>
    <w:rsid w:val="00756074"/>
    <w:rsid w:val="00756B55"/>
    <w:rsid w:val="007570C2"/>
    <w:rsid w:val="00757581"/>
    <w:rsid w:val="00757879"/>
    <w:rsid w:val="00760186"/>
    <w:rsid w:val="0076089C"/>
    <w:rsid w:val="007611DF"/>
    <w:rsid w:val="0076130D"/>
    <w:rsid w:val="00761418"/>
    <w:rsid w:val="00761863"/>
    <w:rsid w:val="0076197B"/>
    <w:rsid w:val="00761A4F"/>
    <w:rsid w:val="00762396"/>
    <w:rsid w:val="00762754"/>
    <w:rsid w:val="00762854"/>
    <w:rsid w:val="0076289D"/>
    <w:rsid w:val="00762B2B"/>
    <w:rsid w:val="00762B40"/>
    <w:rsid w:val="007632B5"/>
    <w:rsid w:val="00763310"/>
    <w:rsid w:val="0076334B"/>
    <w:rsid w:val="00763579"/>
    <w:rsid w:val="00763630"/>
    <w:rsid w:val="00763CFB"/>
    <w:rsid w:val="00764470"/>
    <w:rsid w:val="007644CD"/>
    <w:rsid w:val="00764839"/>
    <w:rsid w:val="00764F00"/>
    <w:rsid w:val="0076573A"/>
    <w:rsid w:val="00765829"/>
    <w:rsid w:val="0076582D"/>
    <w:rsid w:val="0076592A"/>
    <w:rsid w:val="00766006"/>
    <w:rsid w:val="0076649A"/>
    <w:rsid w:val="0076655B"/>
    <w:rsid w:val="00766603"/>
    <w:rsid w:val="00766719"/>
    <w:rsid w:val="00766B0E"/>
    <w:rsid w:val="00766E8A"/>
    <w:rsid w:val="00767746"/>
    <w:rsid w:val="00767945"/>
    <w:rsid w:val="007679EE"/>
    <w:rsid w:val="00770025"/>
    <w:rsid w:val="007702DB"/>
    <w:rsid w:val="00770361"/>
    <w:rsid w:val="0077037D"/>
    <w:rsid w:val="007709B8"/>
    <w:rsid w:val="00770A4B"/>
    <w:rsid w:val="00770B06"/>
    <w:rsid w:val="00770B62"/>
    <w:rsid w:val="00770EE2"/>
    <w:rsid w:val="00770FCF"/>
    <w:rsid w:val="00772C38"/>
    <w:rsid w:val="00772C9A"/>
    <w:rsid w:val="00772EBF"/>
    <w:rsid w:val="00772F75"/>
    <w:rsid w:val="00772FEF"/>
    <w:rsid w:val="007731D9"/>
    <w:rsid w:val="00773516"/>
    <w:rsid w:val="007739B4"/>
    <w:rsid w:val="00773A7E"/>
    <w:rsid w:val="0077401C"/>
    <w:rsid w:val="007746D4"/>
    <w:rsid w:val="007746D9"/>
    <w:rsid w:val="00774AEA"/>
    <w:rsid w:val="00774F01"/>
    <w:rsid w:val="007750CB"/>
    <w:rsid w:val="007765AF"/>
    <w:rsid w:val="00777F16"/>
    <w:rsid w:val="00780828"/>
    <w:rsid w:val="00780B53"/>
    <w:rsid w:val="00781199"/>
    <w:rsid w:val="007811F8"/>
    <w:rsid w:val="00781631"/>
    <w:rsid w:val="007816F5"/>
    <w:rsid w:val="00781C06"/>
    <w:rsid w:val="00781D94"/>
    <w:rsid w:val="00781DE5"/>
    <w:rsid w:val="00782111"/>
    <w:rsid w:val="00783D5A"/>
    <w:rsid w:val="00783EEF"/>
    <w:rsid w:val="0078452F"/>
    <w:rsid w:val="00784616"/>
    <w:rsid w:val="0078481B"/>
    <w:rsid w:val="00785663"/>
    <w:rsid w:val="00785AD3"/>
    <w:rsid w:val="00785B16"/>
    <w:rsid w:val="007865A5"/>
    <w:rsid w:val="007868C5"/>
    <w:rsid w:val="007868DE"/>
    <w:rsid w:val="0078792E"/>
    <w:rsid w:val="00787CE7"/>
    <w:rsid w:val="00787E3A"/>
    <w:rsid w:val="00787E9D"/>
    <w:rsid w:val="00790845"/>
    <w:rsid w:val="00790E82"/>
    <w:rsid w:val="007916D7"/>
    <w:rsid w:val="00791759"/>
    <w:rsid w:val="00791D93"/>
    <w:rsid w:val="00791E45"/>
    <w:rsid w:val="0079218A"/>
    <w:rsid w:val="007921D3"/>
    <w:rsid w:val="00792470"/>
    <w:rsid w:val="00792D84"/>
    <w:rsid w:val="007933D0"/>
    <w:rsid w:val="00793D0F"/>
    <w:rsid w:val="00793D61"/>
    <w:rsid w:val="0079414C"/>
    <w:rsid w:val="00794388"/>
    <w:rsid w:val="0079473B"/>
    <w:rsid w:val="00794A7A"/>
    <w:rsid w:val="00794CF3"/>
    <w:rsid w:val="00794DEA"/>
    <w:rsid w:val="007956B1"/>
    <w:rsid w:val="0079579F"/>
    <w:rsid w:val="0079590A"/>
    <w:rsid w:val="00795D0C"/>
    <w:rsid w:val="00795DB8"/>
    <w:rsid w:val="00796811"/>
    <w:rsid w:val="0079715D"/>
    <w:rsid w:val="00797307"/>
    <w:rsid w:val="00797949"/>
    <w:rsid w:val="007A0D1D"/>
    <w:rsid w:val="007A173B"/>
    <w:rsid w:val="007A17CC"/>
    <w:rsid w:val="007A19BC"/>
    <w:rsid w:val="007A1DA0"/>
    <w:rsid w:val="007A1F7C"/>
    <w:rsid w:val="007A246C"/>
    <w:rsid w:val="007A24D3"/>
    <w:rsid w:val="007A295F"/>
    <w:rsid w:val="007A2AB9"/>
    <w:rsid w:val="007A3503"/>
    <w:rsid w:val="007A3709"/>
    <w:rsid w:val="007A3B52"/>
    <w:rsid w:val="007A3CE2"/>
    <w:rsid w:val="007A3D5F"/>
    <w:rsid w:val="007A415C"/>
    <w:rsid w:val="007A41F0"/>
    <w:rsid w:val="007A42A3"/>
    <w:rsid w:val="007A444D"/>
    <w:rsid w:val="007A4843"/>
    <w:rsid w:val="007A4B13"/>
    <w:rsid w:val="007A501A"/>
    <w:rsid w:val="007A54C9"/>
    <w:rsid w:val="007A5984"/>
    <w:rsid w:val="007A5C24"/>
    <w:rsid w:val="007A5DD6"/>
    <w:rsid w:val="007A5ECC"/>
    <w:rsid w:val="007A5F6C"/>
    <w:rsid w:val="007A60B0"/>
    <w:rsid w:val="007A6167"/>
    <w:rsid w:val="007A73FB"/>
    <w:rsid w:val="007A7641"/>
    <w:rsid w:val="007A772B"/>
    <w:rsid w:val="007A7730"/>
    <w:rsid w:val="007A7FA1"/>
    <w:rsid w:val="007A7FE1"/>
    <w:rsid w:val="007B0CB8"/>
    <w:rsid w:val="007B0F82"/>
    <w:rsid w:val="007B1194"/>
    <w:rsid w:val="007B13B9"/>
    <w:rsid w:val="007B1828"/>
    <w:rsid w:val="007B1D32"/>
    <w:rsid w:val="007B1F93"/>
    <w:rsid w:val="007B2693"/>
    <w:rsid w:val="007B26A0"/>
    <w:rsid w:val="007B270F"/>
    <w:rsid w:val="007B2926"/>
    <w:rsid w:val="007B2BA0"/>
    <w:rsid w:val="007B3436"/>
    <w:rsid w:val="007B3586"/>
    <w:rsid w:val="007B36AE"/>
    <w:rsid w:val="007B3789"/>
    <w:rsid w:val="007B39F7"/>
    <w:rsid w:val="007B442F"/>
    <w:rsid w:val="007B4C16"/>
    <w:rsid w:val="007B53A2"/>
    <w:rsid w:val="007B53EA"/>
    <w:rsid w:val="007B55A9"/>
    <w:rsid w:val="007B5ADF"/>
    <w:rsid w:val="007B5AEE"/>
    <w:rsid w:val="007B5F3F"/>
    <w:rsid w:val="007B62C6"/>
    <w:rsid w:val="007B665D"/>
    <w:rsid w:val="007B667F"/>
    <w:rsid w:val="007B675B"/>
    <w:rsid w:val="007B67C5"/>
    <w:rsid w:val="007B6882"/>
    <w:rsid w:val="007B6999"/>
    <w:rsid w:val="007B6C93"/>
    <w:rsid w:val="007B706D"/>
    <w:rsid w:val="007B794F"/>
    <w:rsid w:val="007B7B8A"/>
    <w:rsid w:val="007C012B"/>
    <w:rsid w:val="007C035E"/>
    <w:rsid w:val="007C0E5C"/>
    <w:rsid w:val="007C0F61"/>
    <w:rsid w:val="007C0FC1"/>
    <w:rsid w:val="007C151D"/>
    <w:rsid w:val="007C16EB"/>
    <w:rsid w:val="007C1A23"/>
    <w:rsid w:val="007C1AA7"/>
    <w:rsid w:val="007C2119"/>
    <w:rsid w:val="007C2499"/>
    <w:rsid w:val="007C24B4"/>
    <w:rsid w:val="007C26D5"/>
    <w:rsid w:val="007C2A75"/>
    <w:rsid w:val="007C333C"/>
    <w:rsid w:val="007C373E"/>
    <w:rsid w:val="007C3AD2"/>
    <w:rsid w:val="007C54A2"/>
    <w:rsid w:val="007C5822"/>
    <w:rsid w:val="007C5FA2"/>
    <w:rsid w:val="007C6574"/>
    <w:rsid w:val="007C6635"/>
    <w:rsid w:val="007C67FE"/>
    <w:rsid w:val="007C6C23"/>
    <w:rsid w:val="007C7551"/>
    <w:rsid w:val="007D0777"/>
    <w:rsid w:val="007D09AF"/>
    <w:rsid w:val="007D1124"/>
    <w:rsid w:val="007D1793"/>
    <w:rsid w:val="007D2422"/>
    <w:rsid w:val="007D255A"/>
    <w:rsid w:val="007D2CD3"/>
    <w:rsid w:val="007D2DD6"/>
    <w:rsid w:val="007D376C"/>
    <w:rsid w:val="007D3CD6"/>
    <w:rsid w:val="007D404E"/>
    <w:rsid w:val="007D42B0"/>
    <w:rsid w:val="007D42DF"/>
    <w:rsid w:val="007D4334"/>
    <w:rsid w:val="007D43AB"/>
    <w:rsid w:val="007D469E"/>
    <w:rsid w:val="007D522F"/>
    <w:rsid w:val="007D5329"/>
    <w:rsid w:val="007D57AD"/>
    <w:rsid w:val="007D5E57"/>
    <w:rsid w:val="007D6FAE"/>
    <w:rsid w:val="007D7038"/>
    <w:rsid w:val="007D75D0"/>
    <w:rsid w:val="007D75ED"/>
    <w:rsid w:val="007D77D1"/>
    <w:rsid w:val="007D7A5D"/>
    <w:rsid w:val="007D7DE3"/>
    <w:rsid w:val="007E0051"/>
    <w:rsid w:val="007E00DC"/>
    <w:rsid w:val="007E020B"/>
    <w:rsid w:val="007E0780"/>
    <w:rsid w:val="007E1310"/>
    <w:rsid w:val="007E15D6"/>
    <w:rsid w:val="007E2158"/>
    <w:rsid w:val="007E2260"/>
    <w:rsid w:val="007E22F7"/>
    <w:rsid w:val="007E2CDD"/>
    <w:rsid w:val="007E2E32"/>
    <w:rsid w:val="007E36B0"/>
    <w:rsid w:val="007E3E2B"/>
    <w:rsid w:val="007E4022"/>
    <w:rsid w:val="007E44CC"/>
    <w:rsid w:val="007E4A47"/>
    <w:rsid w:val="007E4FC0"/>
    <w:rsid w:val="007E5124"/>
    <w:rsid w:val="007E516A"/>
    <w:rsid w:val="007E570D"/>
    <w:rsid w:val="007E60A0"/>
    <w:rsid w:val="007E65AE"/>
    <w:rsid w:val="007E68B8"/>
    <w:rsid w:val="007E69DF"/>
    <w:rsid w:val="007E6F61"/>
    <w:rsid w:val="007F0BB4"/>
    <w:rsid w:val="007F0EAA"/>
    <w:rsid w:val="007F0F49"/>
    <w:rsid w:val="007F10E0"/>
    <w:rsid w:val="007F118D"/>
    <w:rsid w:val="007F1518"/>
    <w:rsid w:val="007F17AC"/>
    <w:rsid w:val="007F19D7"/>
    <w:rsid w:val="007F1D03"/>
    <w:rsid w:val="007F2431"/>
    <w:rsid w:val="007F2472"/>
    <w:rsid w:val="007F291D"/>
    <w:rsid w:val="007F2AF5"/>
    <w:rsid w:val="007F2D79"/>
    <w:rsid w:val="007F2F15"/>
    <w:rsid w:val="007F3025"/>
    <w:rsid w:val="007F44E1"/>
    <w:rsid w:val="007F4769"/>
    <w:rsid w:val="007F4B97"/>
    <w:rsid w:val="007F5617"/>
    <w:rsid w:val="007F56D3"/>
    <w:rsid w:val="007F5EE7"/>
    <w:rsid w:val="007F617D"/>
    <w:rsid w:val="007F6994"/>
    <w:rsid w:val="007F6EB5"/>
    <w:rsid w:val="007F7314"/>
    <w:rsid w:val="007F77E4"/>
    <w:rsid w:val="007F7904"/>
    <w:rsid w:val="007F7964"/>
    <w:rsid w:val="007F7CD0"/>
    <w:rsid w:val="00800613"/>
    <w:rsid w:val="008007D9"/>
    <w:rsid w:val="008010F6"/>
    <w:rsid w:val="00801276"/>
    <w:rsid w:val="00801762"/>
    <w:rsid w:val="008026EF"/>
    <w:rsid w:val="00802AEA"/>
    <w:rsid w:val="00802FCD"/>
    <w:rsid w:val="008031A2"/>
    <w:rsid w:val="008038D1"/>
    <w:rsid w:val="00803F99"/>
    <w:rsid w:val="00804AD4"/>
    <w:rsid w:val="00804B7F"/>
    <w:rsid w:val="00804D49"/>
    <w:rsid w:val="00804DB0"/>
    <w:rsid w:val="00804DC6"/>
    <w:rsid w:val="00804E26"/>
    <w:rsid w:val="00805A33"/>
    <w:rsid w:val="0080625E"/>
    <w:rsid w:val="0080627B"/>
    <w:rsid w:val="00806314"/>
    <w:rsid w:val="008067F0"/>
    <w:rsid w:val="008074E0"/>
    <w:rsid w:val="00807500"/>
    <w:rsid w:val="00810E56"/>
    <w:rsid w:val="008113BC"/>
    <w:rsid w:val="00811486"/>
    <w:rsid w:val="00811B72"/>
    <w:rsid w:val="00811DE2"/>
    <w:rsid w:val="00812058"/>
    <w:rsid w:val="00812155"/>
    <w:rsid w:val="008122DD"/>
    <w:rsid w:val="0081247D"/>
    <w:rsid w:val="008126B0"/>
    <w:rsid w:val="00812901"/>
    <w:rsid w:val="00813087"/>
    <w:rsid w:val="00813303"/>
    <w:rsid w:val="008135FB"/>
    <w:rsid w:val="008138F7"/>
    <w:rsid w:val="00813951"/>
    <w:rsid w:val="00814590"/>
    <w:rsid w:val="0081492C"/>
    <w:rsid w:val="008149B1"/>
    <w:rsid w:val="00815027"/>
    <w:rsid w:val="008151BF"/>
    <w:rsid w:val="008152F5"/>
    <w:rsid w:val="00815512"/>
    <w:rsid w:val="008157D8"/>
    <w:rsid w:val="00816273"/>
    <w:rsid w:val="00816848"/>
    <w:rsid w:val="00816E01"/>
    <w:rsid w:val="0081798F"/>
    <w:rsid w:val="00817C68"/>
    <w:rsid w:val="00817E3E"/>
    <w:rsid w:val="00820692"/>
    <w:rsid w:val="00820EEB"/>
    <w:rsid w:val="00821183"/>
    <w:rsid w:val="0082149F"/>
    <w:rsid w:val="00821665"/>
    <w:rsid w:val="00821B14"/>
    <w:rsid w:val="00821D42"/>
    <w:rsid w:val="00821E59"/>
    <w:rsid w:val="00821FD9"/>
    <w:rsid w:val="008222BE"/>
    <w:rsid w:val="00822A15"/>
    <w:rsid w:val="00822B83"/>
    <w:rsid w:val="008234BE"/>
    <w:rsid w:val="00823645"/>
    <w:rsid w:val="00823C5F"/>
    <w:rsid w:val="008240BB"/>
    <w:rsid w:val="008258BC"/>
    <w:rsid w:val="008259DE"/>
    <w:rsid w:val="00825F57"/>
    <w:rsid w:val="0082621E"/>
    <w:rsid w:val="00826ABB"/>
    <w:rsid w:val="00826CB2"/>
    <w:rsid w:val="00826F29"/>
    <w:rsid w:val="0082714B"/>
    <w:rsid w:val="00827A5A"/>
    <w:rsid w:val="00827D47"/>
    <w:rsid w:val="00830F5D"/>
    <w:rsid w:val="008310D3"/>
    <w:rsid w:val="0083115B"/>
    <w:rsid w:val="008311D2"/>
    <w:rsid w:val="00831203"/>
    <w:rsid w:val="0083151A"/>
    <w:rsid w:val="00831B9B"/>
    <w:rsid w:val="00831E9B"/>
    <w:rsid w:val="008324BD"/>
    <w:rsid w:val="00832530"/>
    <w:rsid w:val="00832668"/>
    <w:rsid w:val="00832F84"/>
    <w:rsid w:val="008332DB"/>
    <w:rsid w:val="008335C3"/>
    <w:rsid w:val="008335FE"/>
    <w:rsid w:val="008338B5"/>
    <w:rsid w:val="00833922"/>
    <w:rsid w:val="00833E73"/>
    <w:rsid w:val="00834010"/>
    <w:rsid w:val="00834520"/>
    <w:rsid w:val="00834FBE"/>
    <w:rsid w:val="008351A9"/>
    <w:rsid w:val="00835399"/>
    <w:rsid w:val="00835556"/>
    <w:rsid w:val="0083658D"/>
    <w:rsid w:val="008371A2"/>
    <w:rsid w:val="008400D6"/>
    <w:rsid w:val="00840371"/>
    <w:rsid w:val="0084047D"/>
    <w:rsid w:val="008405E4"/>
    <w:rsid w:val="008408A6"/>
    <w:rsid w:val="00840D8D"/>
    <w:rsid w:val="0084141C"/>
    <w:rsid w:val="008415DA"/>
    <w:rsid w:val="008416A3"/>
    <w:rsid w:val="0084189F"/>
    <w:rsid w:val="00841A8F"/>
    <w:rsid w:val="00841D7D"/>
    <w:rsid w:val="0084219D"/>
    <w:rsid w:val="008425E1"/>
    <w:rsid w:val="00842FE2"/>
    <w:rsid w:val="0084337D"/>
    <w:rsid w:val="0084339B"/>
    <w:rsid w:val="008440C6"/>
    <w:rsid w:val="00844A3D"/>
    <w:rsid w:val="00844D6A"/>
    <w:rsid w:val="00844EBA"/>
    <w:rsid w:val="00845301"/>
    <w:rsid w:val="00845887"/>
    <w:rsid w:val="00845960"/>
    <w:rsid w:val="0084665D"/>
    <w:rsid w:val="008468C9"/>
    <w:rsid w:val="00846EA3"/>
    <w:rsid w:val="00847557"/>
    <w:rsid w:val="00847BD5"/>
    <w:rsid w:val="008504C0"/>
    <w:rsid w:val="00850624"/>
    <w:rsid w:val="00850C87"/>
    <w:rsid w:val="008512E7"/>
    <w:rsid w:val="00851E6E"/>
    <w:rsid w:val="00851F78"/>
    <w:rsid w:val="00852001"/>
    <w:rsid w:val="00852332"/>
    <w:rsid w:val="0085243B"/>
    <w:rsid w:val="00852846"/>
    <w:rsid w:val="00852AB5"/>
    <w:rsid w:val="00852B46"/>
    <w:rsid w:val="008530B5"/>
    <w:rsid w:val="008535B7"/>
    <w:rsid w:val="008545D1"/>
    <w:rsid w:val="00854856"/>
    <w:rsid w:val="00854985"/>
    <w:rsid w:val="008549CD"/>
    <w:rsid w:val="00855A53"/>
    <w:rsid w:val="00855D10"/>
    <w:rsid w:val="00856273"/>
    <w:rsid w:val="008563B9"/>
    <w:rsid w:val="00856D3B"/>
    <w:rsid w:val="00857709"/>
    <w:rsid w:val="00857D67"/>
    <w:rsid w:val="00857ECB"/>
    <w:rsid w:val="00860001"/>
    <w:rsid w:val="0086010C"/>
    <w:rsid w:val="00860351"/>
    <w:rsid w:val="008607F8"/>
    <w:rsid w:val="00860809"/>
    <w:rsid w:val="00860BBD"/>
    <w:rsid w:val="00861397"/>
    <w:rsid w:val="00861973"/>
    <w:rsid w:val="008619CD"/>
    <w:rsid w:val="008619DB"/>
    <w:rsid w:val="00861A28"/>
    <w:rsid w:val="00861A4C"/>
    <w:rsid w:val="00861A73"/>
    <w:rsid w:val="00861CBF"/>
    <w:rsid w:val="00862264"/>
    <w:rsid w:val="008623A8"/>
    <w:rsid w:val="008627A8"/>
    <w:rsid w:val="008627FF"/>
    <w:rsid w:val="00862A31"/>
    <w:rsid w:val="00862C88"/>
    <w:rsid w:val="008636F6"/>
    <w:rsid w:val="00863721"/>
    <w:rsid w:val="00863C7C"/>
    <w:rsid w:val="00863C8F"/>
    <w:rsid w:val="00863F5A"/>
    <w:rsid w:val="008642EC"/>
    <w:rsid w:val="008643F2"/>
    <w:rsid w:val="0086490F"/>
    <w:rsid w:val="0086496C"/>
    <w:rsid w:val="00865208"/>
    <w:rsid w:val="00865288"/>
    <w:rsid w:val="0086578C"/>
    <w:rsid w:val="008659E6"/>
    <w:rsid w:val="00865AD5"/>
    <w:rsid w:val="00865DE2"/>
    <w:rsid w:val="00865F07"/>
    <w:rsid w:val="00866043"/>
    <w:rsid w:val="008662A7"/>
    <w:rsid w:val="00866890"/>
    <w:rsid w:val="00866ECF"/>
    <w:rsid w:val="00867483"/>
    <w:rsid w:val="0086761E"/>
    <w:rsid w:val="0086783B"/>
    <w:rsid w:val="008678B4"/>
    <w:rsid w:val="00867E1B"/>
    <w:rsid w:val="0087022C"/>
    <w:rsid w:val="00870C2C"/>
    <w:rsid w:val="00871755"/>
    <w:rsid w:val="00872042"/>
    <w:rsid w:val="008728E5"/>
    <w:rsid w:val="00872B6F"/>
    <w:rsid w:val="008732EF"/>
    <w:rsid w:val="00873930"/>
    <w:rsid w:val="00873C32"/>
    <w:rsid w:val="0087405A"/>
    <w:rsid w:val="0087422D"/>
    <w:rsid w:val="008745A4"/>
    <w:rsid w:val="00874982"/>
    <w:rsid w:val="0087498F"/>
    <w:rsid w:val="00874BFE"/>
    <w:rsid w:val="00874F0F"/>
    <w:rsid w:val="008752ED"/>
    <w:rsid w:val="0087551D"/>
    <w:rsid w:val="00876387"/>
    <w:rsid w:val="00876C6E"/>
    <w:rsid w:val="00877E08"/>
    <w:rsid w:val="00877FC5"/>
    <w:rsid w:val="008805F6"/>
    <w:rsid w:val="008806C6"/>
    <w:rsid w:val="00880969"/>
    <w:rsid w:val="0088097E"/>
    <w:rsid w:val="00881628"/>
    <w:rsid w:val="00881848"/>
    <w:rsid w:val="008818B3"/>
    <w:rsid w:val="00881949"/>
    <w:rsid w:val="00881990"/>
    <w:rsid w:val="00881F7B"/>
    <w:rsid w:val="008827DD"/>
    <w:rsid w:val="00882B3D"/>
    <w:rsid w:val="00882D1F"/>
    <w:rsid w:val="008830EB"/>
    <w:rsid w:val="00883DB9"/>
    <w:rsid w:val="00883F90"/>
    <w:rsid w:val="0088401D"/>
    <w:rsid w:val="00884E79"/>
    <w:rsid w:val="008852A5"/>
    <w:rsid w:val="008853EC"/>
    <w:rsid w:val="008858F1"/>
    <w:rsid w:val="00885B04"/>
    <w:rsid w:val="008860A5"/>
    <w:rsid w:val="00886414"/>
    <w:rsid w:val="00886679"/>
    <w:rsid w:val="00886D37"/>
    <w:rsid w:val="008878EF"/>
    <w:rsid w:val="008902A7"/>
    <w:rsid w:val="00890467"/>
    <w:rsid w:val="008904AC"/>
    <w:rsid w:val="008906D8"/>
    <w:rsid w:val="00890F8D"/>
    <w:rsid w:val="00891367"/>
    <w:rsid w:val="0089178D"/>
    <w:rsid w:val="00891958"/>
    <w:rsid w:val="00891E34"/>
    <w:rsid w:val="008925A7"/>
    <w:rsid w:val="0089293A"/>
    <w:rsid w:val="00892A8E"/>
    <w:rsid w:val="00892B97"/>
    <w:rsid w:val="00892BAB"/>
    <w:rsid w:val="00892C92"/>
    <w:rsid w:val="00892E4C"/>
    <w:rsid w:val="0089326D"/>
    <w:rsid w:val="0089352A"/>
    <w:rsid w:val="0089367F"/>
    <w:rsid w:val="00893E61"/>
    <w:rsid w:val="00893FA8"/>
    <w:rsid w:val="0089420D"/>
    <w:rsid w:val="00894407"/>
    <w:rsid w:val="008946F7"/>
    <w:rsid w:val="008947C2"/>
    <w:rsid w:val="008947EB"/>
    <w:rsid w:val="00894D6F"/>
    <w:rsid w:val="008950FB"/>
    <w:rsid w:val="0089580B"/>
    <w:rsid w:val="0089582A"/>
    <w:rsid w:val="00895DA2"/>
    <w:rsid w:val="0089619B"/>
    <w:rsid w:val="00896B70"/>
    <w:rsid w:val="00896BA3"/>
    <w:rsid w:val="0089781C"/>
    <w:rsid w:val="00897CF6"/>
    <w:rsid w:val="00897D2A"/>
    <w:rsid w:val="00897DAC"/>
    <w:rsid w:val="008A02C5"/>
    <w:rsid w:val="008A0462"/>
    <w:rsid w:val="008A08F8"/>
    <w:rsid w:val="008A09C5"/>
    <w:rsid w:val="008A0B74"/>
    <w:rsid w:val="008A0EFC"/>
    <w:rsid w:val="008A0F13"/>
    <w:rsid w:val="008A1144"/>
    <w:rsid w:val="008A17A6"/>
    <w:rsid w:val="008A1A64"/>
    <w:rsid w:val="008A1AA2"/>
    <w:rsid w:val="008A1C56"/>
    <w:rsid w:val="008A231F"/>
    <w:rsid w:val="008A23E2"/>
    <w:rsid w:val="008A257D"/>
    <w:rsid w:val="008A27D4"/>
    <w:rsid w:val="008A2C27"/>
    <w:rsid w:val="008A3000"/>
    <w:rsid w:val="008A33BA"/>
    <w:rsid w:val="008A33BE"/>
    <w:rsid w:val="008A35ED"/>
    <w:rsid w:val="008A39C2"/>
    <w:rsid w:val="008A3A67"/>
    <w:rsid w:val="008A3D1A"/>
    <w:rsid w:val="008A4902"/>
    <w:rsid w:val="008A5C9C"/>
    <w:rsid w:val="008A6359"/>
    <w:rsid w:val="008A714B"/>
    <w:rsid w:val="008A7FE2"/>
    <w:rsid w:val="008B0283"/>
    <w:rsid w:val="008B0303"/>
    <w:rsid w:val="008B03E2"/>
    <w:rsid w:val="008B05C5"/>
    <w:rsid w:val="008B06DB"/>
    <w:rsid w:val="008B0824"/>
    <w:rsid w:val="008B09D0"/>
    <w:rsid w:val="008B0AC5"/>
    <w:rsid w:val="008B0D5E"/>
    <w:rsid w:val="008B0EC4"/>
    <w:rsid w:val="008B1A18"/>
    <w:rsid w:val="008B250A"/>
    <w:rsid w:val="008B26A0"/>
    <w:rsid w:val="008B2FDA"/>
    <w:rsid w:val="008B410D"/>
    <w:rsid w:val="008B4126"/>
    <w:rsid w:val="008B416B"/>
    <w:rsid w:val="008B43BA"/>
    <w:rsid w:val="008B4476"/>
    <w:rsid w:val="008B479C"/>
    <w:rsid w:val="008B4AB4"/>
    <w:rsid w:val="008B4B71"/>
    <w:rsid w:val="008B5465"/>
    <w:rsid w:val="008B5884"/>
    <w:rsid w:val="008B5E05"/>
    <w:rsid w:val="008B6407"/>
    <w:rsid w:val="008B6563"/>
    <w:rsid w:val="008B65FF"/>
    <w:rsid w:val="008B665A"/>
    <w:rsid w:val="008B6978"/>
    <w:rsid w:val="008B6CAA"/>
    <w:rsid w:val="008B72E4"/>
    <w:rsid w:val="008B7411"/>
    <w:rsid w:val="008B7947"/>
    <w:rsid w:val="008B7BDA"/>
    <w:rsid w:val="008B7C36"/>
    <w:rsid w:val="008B7C63"/>
    <w:rsid w:val="008B7DAD"/>
    <w:rsid w:val="008C0349"/>
    <w:rsid w:val="008C0FDD"/>
    <w:rsid w:val="008C104F"/>
    <w:rsid w:val="008C2269"/>
    <w:rsid w:val="008C34FC"/>
    <w:rsid w:val="008C387F"/>
    <w:rsid w:val="008C404E"/>
    <w:rsid w:val="008C44CE"/>
    <w:rsid w:val="008C44FD"/>
    <w:rsid w:val="008C48D6"/>
    <w:rsid w:val="008C4930"/>
    <w:rsid w:val="008C4A0E"/>
    <w:rsid w:val="008C4D26"/>
    <w:rsid w:val="008C4E33"/>
    <w:rsid w:val="008C5288"/>
    <w:rsid w:val="008C59C7"/>
    <w:rsid w:val="008C5CCC"/>
    <w:rsid w:val="008C5F47"/>
    <w:rsid w:val="008C5FE6"/>
    <w:rsid w:val="008C62F6"/>
    <w:rsid w:val="008C6326"/>
    <w:rsid w:val="008C6530"/>
    <w:rsid w:val="008C76C5"/>
    <w:rsid w:val="008C7B82"/>
    <w:rsid w:val="008C7C8C"/>
    <w:rsid w:val="008C7FBE"/>
    <w:rsid w:val="008D0013"/>
    <w:rsid w:val="008D00ED"/>
    <w:rsid w:val="008D02F2"/>
    <w:rsid w:val="008D0392"/>
    <w:rsid w:val="008D06DE"/>
    <w:rsid w:val="008D082F"/>
    <w:rsid w:val="008D0A63"/>
    <w:rsid w:val="008D19C6"/>
    <w:rsid w:val="008D1AE4"/>
    <w:rsid w:val="008D1E39"/>
    <w:rsid w:val="008D2B8C"/>
    <w:rsid w:val="008D2CB1"/>
    <w:rsid w:val="008D2CD6"/>
    <w:rsid w:val="008D2F94"/>
    <w:rsid w:val="008D358B"/>
    <w:rsid w:val="008D3D28"/>
    <w:rsid w:val="008D48A5"/>
    <w:rsid w:val="008D4A67"/>
    <w:rsid w:val="008D4F10"/>
    <w:rsid w:val="008D4FBB"/>
    <w:rsid w:val="008D4FE6"/>
    <w:rsid w:val="008D6205"/>
    <w:rsid w:val="008D6B16"/>
    <w:rsid w:val="008D71EF"/>
    <w:rsid w:val="008D724F"/>
    <w:rsid w:val="008D7754"/>
    <w:rsid w:val="008D7A9D"/>
    <w:rsid w:val="008E0707"/>
    <w:rsid w:val="008E0974"/>
    <w:rsid w:val="008E0CB3"/>
    <w:rsid w:val="008E0EAE"/>
    <w:rsid w:val="008E1130"/>
    <w:rsid w:val="008E1B2C"/>
    <w:rsid w:val="008E2259"/>
    <w:rsid w:val="008E2502"/>
    <w:rsid w:val="008E2BAD"/>
    <w:rsid w:val="008E2E97"/>
    <w:rsid w:val="008E3106"/>
    <w:rsid w:val="008E36C4"/>
    <w:rsid w:val="008E3F72"/>
    <w:rsid w:val="008E4286"/>
    <w:rsid w:val="008E42E1"/>
    <w:rsid w:val="008E431C"/>
    <w:rsid w:val="008E4FE7"/>
    <w:rsid w:val="008E50E6"/>
    <w:rsid w:val="008E512F"/>
    <w:rsid w:val="008E5190"/>
    <w:rsid w:val="008E5547"/>
    <w:rsid w:val="008E5E69"/>
    <w:rsid w:val="008E67EE"/>
    <w:rsid w:val="008E6E39"/>
    <w:rsid w:val="008E7502"/>
    <w:rsid w:val="008E78E5"/>
    <w:rsid w:val="008E796B"/>
    <w:rsid w:val="008E7BEE"/>
    <w:rsid w:val="008E7DBF"/>
    <w:rsid w:val="008F08A8"/>
    <w:rsid w:val="008F1233"/>
    <w:rsid w:val="008F1727"/>
    <w:rsid w:val="008F187D"/>
    <w:rsid w:val="008F1998"/>
    <w:rsid w:val="008F1C96"/>
    <w:rsid w:val="008F22BF"/>
    <w:rsid w:val="008F3F59"/>
    <w:rsid w:val="008F4B9A"/>
    <w:rsid w:val="008F5925"/>
    <w:rsid w:val="008F5DA9"/>
    <w:rsid w:val="008F5F13"/>
    <w:rsid w:val="008F63A6"/>
    <w:rsid w:val="008F64A3"/>
    <w:rsid w:val="008F66A4"/>
    <w:rsid w:val="008F66D2"/>
    <w:rsid w:val="008F686D"/>
    <w:rsid w:val="008F6985"/>
    <w:rsid w:val="008F7066"/>
    <w:rsid w:val="008F77FD"/>
    <w:rsid w:val="008F7995"/>
    <w:rsid w:val="008F7AA4"/>
    <w:rsid w:val="008F7E88"/>
    <w:rsid w:val="008F7F5B"/>
    <w:rsid w:val="00900645"/>
    <w:rsid w:val="00900DB0"/>
    <w:rsid w:val="0090128F"/>
    <w:rsid w:val="0090189C"/>
    <w:rsid w:val="00901C97"/>
    <w:rsid w:val="00902526"/>
    <w:rsid w:val="009033F7"/>
    <w:rsid w:val="009034B0"/>
    <w:rsid w:val="00903658"/>
    <w:rsid w:val="0090378F"/>
    <w:rsid w:val="00903819"/>
    <w:rsid w:val="00903C83"/>
    <w:rsid w:val="00903F3D"/>
    <w:rsid w:val="0090418D"/>
    <w:rsid w:val="00904462"/>
    <w:rsid w:val="009044C5"/>
    <w:rsid w:val="009044F4"/>
    <w:rsid w:val="009045D8"/>
    <w:rsid w:val="00904AB3"/>
    <w:rsid w:val="00904ACB"/>
    <w:rsid w:val="00905120"/>
    <w:rsid w:val="00905419"/>
    <w:rsid w:val="00905A12"/>
    <w:rsid w:val="00905E82"/>
    <w:rsid w:val="00906027"/>
    <w:rsid w:val="009068AF"/>
    <w:rsid w:val="00906AEF"/>
    <w:rsid w:val="00907314"/>
    <w:rsid w:val="009074E0"/>
    <w:rsid w:val="00907506"/>
    <w:rsid w:val="00907812"/>
    <w:rsid w:val="0090781A"/>
    <w:rsid w:val="00907CA4"/>
    <w:rsid w:val="0091052A"/>
    <w:rsid w:val="00910658"/>
    <w:rsid w:val="00910693"/>
    <w:rsid w:val="009106B8"/>
    <w:rsid w:val="00910AAB"/>
    <w:rsid w:val="00910F16"/>
    <w:rsid w:val="00911898"/>
    <w:rsid w:val="009119AD"/>
    <w:rsid w:val="00911A93"/>
    <w:rsid w:val="00911C37"/>
    <w:rsid w:val="009123DA"/>
    <w:rsid w:val="009131F7"/>
    <w:rsid w:val="00913336"/>
    <w:rsid w:val="00913861"/>
    <w:rsid w:val="009138A5"/>
    <w:rsid w:val="009138E2"/>
    <w:rsid w:val="00914222"/>
    <w:rsid w:val="00914574"/>
    <w:rsid w:val="0091462C"/>
    <w:rsid w:val="00914691"/>
    <w:rsid w:val="00914C9C"/>
    <w:rsid w:val="009156EF"/>
    <w:rsid w:val="00916008"/>
    <w:rsid w:val="009162B7"/>
    <w:rsid w:val="00916343"/>
    <w:rsid w:val="00916766"/>
    <w:rsid w:val="00917297"/>
    <w:rsid w:val="0091730E"/>
    <w:rsid w:val="00917A60"/>
    <w:rsid w:val="00917D6D"/>
    <w:rsid w:val="00917EF6"/>
    <w:rsid w:val="00920B77"/>
    <w:rsid w:val="00920D4E"/>
    <w:rsid w:val="00921009"/>
    <w:rsid w:val="00921364"/>
    <w:rsid w:val="00921983"/>
    <w:rsid w:val="00921A0C"/>
    <w:rsid w:val="00921D2A"/>
    <w:rsid w:val="00922126"/>
    <w:rsid w:val="00922C91"/>
    <w:rsid w:val="0092351C"/>
    <w:rsid w:val="00923D3C"/>
    <w:rsid w:val="00924456"/>
    <w:rsid w:val="00924B98"/>
    <w:rsid w:val="00925010"/>
    <w:rsid w:val="009251C8"/>
    <w:rsid w:val="0092575B"/>
    <w:rsid w:val="00925C46"/>
    <w:rsid w:val="00926120"/>
    <w:rsid w:val="00926285"/>
    <w:rsid w:val="00926798"/>
    <w:rsid w:val="00926F27"/>
    <w:rsid w:val="0092709A"/>
    <w:rsid w:val="00927281"/>
    <w:rsid w:val="009277FC"/>
    <w:rsid w:val="0092798F"/>
    <w:rsid w:val="00927B24"/>
    <w:rsid w:val="00927DBA"/>
    <w:rsid w:val="00930250"/>
    <w:rsid w:val="009304D1"/>
    <w:rsid w:val="00930A3F"/>
    <w:rsid w:val="00930E61"/>
    <w:rsid w:val="00930EBF"/>
    <w:rsid w:val="00931503"/>
    <w:rsid w:val="009319F8"/>
    <w:rsid w:val="00931A30"/>
    <w:rsid w:val="00931EC4"/>
    <w:rsid w:val="00932123"/>
    <w:rsid w:val="00932972"/>
    <w:rsid w:val="00932D6E"/>
    <w:rsid w:val="009331FD"/>
    <w:rsid w:val="0093329B"/>
    <w:rsid w:val="009332D5"/>
    <w:rsid w:val="009332DF"/>
    <w:rsid w:val="00933420"/>
    <w:rsid w:val="00933CCA"/>
    <w:rsid w:val="00934410"/>
    <w:rsid w:val="00934DFC"/>
    <w:rsid w:val="0093590A"/>
    <w:rsid w:val="00935C15"/>
    <w:rsid w:val="009362E3"/>
    <w:rsid w:val="0093696D"/>
    <w:rsid w:val="00936DE6"/>
    <w:rsid w:val="00937F34"/>
    <w:rsid w:val="0094121F"/>
    <w:rsid w:val="00941AB6"/>
    <w:rsid w:val="00941B13"/>
    <w:rsid w:val="00941CF6"/>
    <w:rsid w:val="00942786"/>
    <w:rsid w:val="009435AF"/>
    <w:rsid w:val="00943757"/>
    <w:rsid w:val="00944976"/>
    <w:rsid w:val="00944A52"/>
    <w:rsid w:val="00945187"/>
    <w:rsid w:val="0094579E"/>
    <w:rsid w:val="00945C2F"/>
    <w:rsid w:val="00945EAD"/>
    <w:rsid w:val="00946A63"/>
    <w:rsid w:val="00946C16"/>
    <w:rsid w:val="00947008"/>
    <w:rsid w:val="00947B6D"/>
    <w:rsid w:val="00947C2D"/>
    <w:rsid w:val="00947D91"/>
    <w:rsid w:val="00947E57"/>
    <w:rsid w:val="0095050F"/>
    <w:rsid w:val="009508F9"/>
    <w:rsid w:val="00950BE1"/>
    <w:rsid w:val="00950EC7"/>
    <w:rsid w:val="00951442"/>
    <w:rsid w:val="00951A29"/>
    <w:rsid w:val="00951B2D"/>
    <w:rsid w:val="009520B1"/>
    <w:rsid w:val="009521E2"/>
    <w:rsid w:val="009543A4"/>
    <w:rsid w:val="00954508"/>
    <w:rsid w:val="0095481B"/>
    <w:rsid w:val="00954A9C"/>
    <w:rsid w:val="0095562D"/>
    <w:rsid w:val="00955786"/>
    <w:rsid w:val="00955C76"/>
    <w:rsid w:val="00955CA3"/>
    <w:rsid w:val="00956E3F"/>
    <w:rsid w:val="009574B9"/>
    <w:rsid w:val="009578E4"/>
    <w:rsid w:val="00960B5B"/>
    <w:rsid w:val="00960C05"/>
    <w:rsid w:val="00960DEF"/>
    <w:rsid w:val="0096107E"/>
    <w:rsid w:val="00961888"/>
    <w:rsid w:val="0096190A"/>
    <w:rsid w:val="00961BB3"/>
    <w:rsid w:val="00961D12"/>
    <w:rsid w:val="009620AC"/>
    <w:rsid w:val="00962103"/>
    <w:rsid w:val="009623AE"/>
    <w:rsid w:val="009627E3"/>
    <w:rsid w:val="00962B05"/>
    <w:rsid w:val="009633DD"/>
    <w:rsid w:val="00963A3D"/>
    <w:rsid w:val="00964E62"/>
    <w:rsid w:val="009655B2"/>
    <w:rsid w:val="00965936"/>
    <w:rsid w:val="00965B7D"/>
    <w:rsid w:val="00965E15"/>
    <w:rsid w:val="00967063"/>
    <w:rsid w:val="009671DA"/>
    <w:rsid w:val="0096720C"/>
    <w:rsid w:val="009675FD"/>
    <w:rsid w:val="00967869"/>
    <w:rsid w:val="00967B1B"/>
    <w:rsid w:val="0097036E"/>
    <w:rsid w:val="00970507"/>
    <w:rsid w:val="00970605"/>
    <w:rsid w:val="00970818"/>
    <w:rsid w:val="009708A9"/>
    <w:rsid w:val="00970EA1"/>
    <w:rsid w:val="00971010"/>
    <w:rsid w:val="00971024"/>
    <w:rsid w:val="009714BD"/>
    <w:rsid w:val="00971794"/>
    <w:rsid w:val="009718BD"/>
    <w:rsid w:val="009719E9"/>
    <w:rsid w:val="00973011"/>
    <w:rsid w:val="00973783"/>
    <w:rsid w:val="00973832"/>
    <w:rsid w:val="00973D60"/>
    <w:rsid w:val="00973F08"/>
    <w:rsid w:val="0097412F"/>
    <w:rsid w:val="00974980"/>
    <w:rsid w:val="009753B0"/>
    <w:rsid w:val="009753FC"/>
    <w:rsid w:val="00975BE5"/>
    <w:rsid w:val="009762CF"/>
    <w:rsid w:val="009764D2"/>
    <w:rsid w:val="00976F9C"/>
    <w:rsid w:val="00977C13"/>
    <w:rsid w:val="009809AC"/>
    <w:rsid w:val="009809B9"/>
    <w:rsid w:val="009809F4"/>
    <w:rsid w:val="009819CB"/>
    <w:rsid w:val="00981CA5"/>
    <w:rsid w:val="00981CD9"/>
    <w:rsid w:val="00981E90"/>
    <w:rsid w:val="00982264"/>
    <w:rsid w:val="0098293C"/>
    <w:rsid w:val="00982A09"/>
    <w:rsid w:val="00982BDC"/>
    <w:rsid w:val="00982C06"/>
    <w:rsid w:val="00982D66"/>
    <w:rsid w:val="0098324B"/>
    <w:rsid w:val="009838E3"/>
    <w:rsid w:val="00983BE9"/>
    <w:rsid w:val="00983EE8"/>
    <w:rsid w:val="00983FB9"/>
    <w:rsid w:val="00984148"/>
    <w:rsid w:val="009841E3"/>
    <w:rsid w:val="009848EF"/>
    <w:rsid w:val="009849C2"/>
    <w:rsid w:val="00984CCC"/>
    <w:rsid w:val="00984E84"/>
    <w:rsid w:val="009852FA"/>
    <w:rsid w:val="00985362"/>
    <w:rsid w:val="00985C2E"/>
    <w:rsid w:val="00986263"/>
    <w:rsid w:val="00986835"/>
    <w:rsid w:val="0098734A"/>
    <w:rsid w:val="00987404"/>
    <w:rsid w:val="009874D5"/>
    <w:rsid w:val="009875DF"/>
    <w:rsid w:val="009905FD"/>
    <w:rsid w:val="00990B11"/>
    <w:rsid w:val="00990D2E"/>
    <w:rsid w:val="0099150E"/>
    <w:rsid w:val="00991AF9"/>
    <w:rsid w:val="00991B2B"/>
    <w:rsid w:val="00992012"/>
    <w:rsid w:val="00992270"/>
    <w:rsid w:val="00992AA6"/>
    <w:rsid w:val="00992DFA"/>
    <w:rsid w:val="0099300D"/>
    <w:rsid w:val="0099367C"/>
    <w:rsid w:val="00993D53"/>
    <w:rsid w:val="00993EAA"/>
    <w:rsid w:val="00993EBE"/>
    <w:rsid w:val="00994281"/>
    <w:rsid w:val="009946B7"/>
    <w:rsid w:val="0099581E"/>
    <w:rsid w:val="0099589F"/>
    <w:rsid w:val="00995DFB"/>
    <w:rsid w:val="009960C4"/>
    <w:rsid w:val="00996203"/>
    <w:rsid w:val="00996225"/>
    <w:rsid w:val="0099646A"/>
    <w:rsid w:val="009973C9"/>
    <w:rsid w:val="00997813"/>
    <w:rsid w:val="00997B54"/>
    <w:rsid w:val="00997F6F"/>
    <w:rsid w:val="009A091D"/>
    <w:rsid w:val="009A0ABC"/>
    <w:rsid w:val="009A0E44"/>
    <w:rsid w:val="009A109F"/>
    <w:rsid w:val="009A1109"/>
    <w:rsid w:val="009A179A"/>
    <w:rsid w:val="009A184E"/>
    <w:rsid w:val="009A18F7"/>
    <w:rsid w:val="009A1E74"/>
    <w:rsid w:val="009A2148"/>
    <w:rsid w:val="009A292E"/>
    <w:rsid w:val="009A3428"/>
    <w:rsid w:val="009A3B44"/>
    <w:rsid w:val="009A5449"/>
    <w:rsid w:val="009A57DF"/>
    <w:rsid w:val="009A61D6"/>
    <w:rsid w:val="009A61DA"/>
    <w:rsid w:val="009A6AB6"/>
    <w:rsid w:val="009A7C43"/>
    <w:rsid w:val="009A7E12"/>
    <w:rsid w:val="009A7E16"/>
    <w:rsid w:val="009B0B54"/>
    <w:rsid w:val="009B1206"/>
    <w:rsid w:val="009B18A3"/>
    <w:rsid w:val="009B1CA0"/>
    <w:rsid w:val="009B1CFB"/>
    <w:rsid w:val="009B1D36"/>
    <w:rsid w:val="009B205B"/>
    <w:rsid w:val="009B22EC"/>
    <w:rsid w:val="009B2A8B"/>
    <w:rsid w:val="009B2ADA"/>
    <w:rsid w:val="009B2F9A"/>
    <w:rsid w:val="009B3705"/>
    <w:rsid w:val="009B3CAD"/>
    <w:rsid w:val="009B3D31"/>
    <w:rsid w:val="009B3ECF"/>
    <w:rsid w:val="009B42EE"/>
    <w:rsid w:val="009B470E"/>
    <w:rsid w:val="009B4BB3"/>
    <w:rsid w:val="009B540E"/>
    <w:rsid w:val="009B5816"/>
    <w:rsid w:val="009B5FC6"/>
    <w:rsid w:val="009B6238"/>
    <w:rsid w:val="009B6694"/>
    <w:rsid w:val="009B7139"/>
    <w:rsid w:val="009B72F5"/>
    <w:rsid w:val="009B7A4A"/>
    <w:rsid w:val="009B7C6E"/>
    <w:rsid w:val="009C09C9"/>
    <w:rsid w:val="009C0B52"/>
    <w:rsid w:val="009C0C36"/>
    <w:rsid w:val="009C0E09"/>
    <w:rsid w:val="009C121A"/>
    <w:rsid w:val="009C2142"/>
    <w:rsid w:val="009C2302"/>
    <w:rsid w:val="009C299E"/>
    <w:rsid w:val="009C29A5"/>
    <w:rsid w:val="009C2D85"/>
    <w:rsid w:val="009C3869"/>
    <w:rsid w:val="009C3920"/>
    <w:rsid w:val="009C3FBB"/>
    <w:rsid w:val="009C49E6"/>
    <w:rsid w:val="009C516B"/>
    <w:rsid w:val="009C55B3"/>
    <w:rsid w:val="009C5A6A"/>
    <w:rsid w:val="009C5A7E"/>
    <w:rsid w:val="009C5B7A"/>
    <w:rsid w:val="009C6125"/>
    <w:rsid w:val="009C6271"/>
    <w:rsid w:val="009C6720"/>
    <w:rsid w:val="009C6ECF"/>
    <w:rsid w:val="009C6EFB"/>
    <w:rsid w:val="009C7347"/>
    <w:rsid w:val="009C751D"/>
    <w:rsid w:val="009C775F"/>
    <w:rsid w:val="009C7D0F"/>
    <w:rsid w:val="009D087F"/>
    <w:rsid w:val="009D0DCE"/>
    <w:rsid w:val="009D2006"/>
    <w:rsid w:val="009D2233"/>
    <w:rsid w:val="009D265B"/>
    <w:rsid w:val="009D2B7D"/>
    <w:rsid w:val="009D2ECC"/>
    <w:rsid w:val="009D3009"/>
    <w:rsid w:val="009D32A7"/>
    <w:rsid w:val="009D37E1"/>
    <w:rsid w:val="009D398D"/>
    <w:rsid w:val="009D469E"/>
    <w:rsid w:val="009D47EF"/>
    <w:rsid w:val="009D48FE"/>
    <w:rsid w:val="009D4BEE"/>
    <w:rsid w:val="009D4FEE"/>
    <w:rsid w:val="009D50B8"/>
    <w:rsid w:val="009D6175"/>
    <w:rsid w:val="009D65FB"/>
    <w:rsid w:val="009D6806"/>
    <w:rsid w:val="009D688D"/>
    <w:rsid w:val="009D68D2"/>
    <w:rsid w:val="009D6EFC"/>
    <w:rsid w:val="009D702A"/>
    <w:rsid w:val="009D705A"/>
    <w:rsid w:val="009D7B7B"/>
    <w:rsid w:val="009D7D09"/>
    <w:rsid w:val="009E01CE"/>
    <w:rsid w:val="009E08D1"/>
    <w:rsid w:val="009E13C3"/>
    <w:rsid w:val="009E1CE3"/>
    <w:rsid w:val="009E232C"/>
    <w:rsid w:val="009E2628"/>
    <w:rsid w:val="009E29AE"/>
    <w:rsid w:val="009E2C5D"/>
    <w:rsid w:val="009E34FC"/>
    <w:rsid w:val="009E4011"/>
    <w:rsid w:val="009E411A"/>
    <w:rsid w:val="009E4956"/>
    <w:rsid w:val="009E4E97"/>
    <w:rsid w:val="009E5194"/>
    <w:rsid w:val="009E5ABA"/>
    <w:rsid w:val="009E5BA7"/>
    <w:rsid w:val="009E5CBD"/>
    <w:rsid w:val="009E6197"/>
    <w:rsid w:val="009E7203"/>
    <w:rsid w:val="009E7870"/>
    <w:rsid w:val="009E797D"/>
    <w:rsid w:val="009E7AB0"/>
    <w:rsid w:val="009E7C3A"/>
    <w:rsid w:val="009E7F60"/>
    <w:rsid w:val="009F058A"/>
    <w:rsid w:val="009F1112"/>
    <w:rsid w:val="009F2178"/>
    <w:rsid w:val="009F244E"/>
    <w:rsid w:val="009F251D"/>
    <w:rsid w:val="009F260A"/>
    <w:rsid w:val="009F2718"/>
    <w:rsid w:val="009F29B5"/>
    <w:rsid w:val="009F2BAC"/>
    <w:rsid w:val="009F3613"/>
    <w:rsid w:val="009F3B64"/>
    <w:rsid w:val="009F41C3"/>
    <w:rsid w:val="009F4A50"/>
    <w:rsid w:val="009F5150"/>
    <w:rsid w:val="009F5394"/>
    <w:rsid w:val="009F6652"/>
    <w:rsid w:val="009F6A56"/>
    <w:rsid w:val="009F6CBE"/>
    <w:rsid w:val="009F6D66"/>
    <w:rsid w:val="009F7003"/>
    <w:rsid w:val="009F7288"/>
    <w:rsid w:val="009F7835"/>
    <w:rsid w:val="009F7889"/>
    <w:rsid w:val="009F7B88"/>
    <w:rsid w:val="00A000DE"/>
    <w:rsid w:val="00A01437"/>
    <w:rsid w:val="00A016D6"/>
    <w:rsid w:val="00A017EE"/>
    <w:rsid w:val="00A0239E"/>
    <w:rsid w:val="00A0318F"/>
    <w:rsid w:val="00A0353A"/>
    <w:rsid w:val="00A03B5A"/>
    <w:rsid w:val="00A03C69"/>
    <w:rsid w:val="00A04694"/>
    <w:rsid w:val="00A048D0"/>
    <w:rsid w:val="00A04D64"/>
    <w:rsid w:val="00A05210"/>
    <w:rsid w:val="00A05461"/>
    <w:rsid w:val="00A055C1"/>
    <w:rsid w:val="00A057EE"/>
    <w:rsid w:val="00A05B99"/>
    <w:rsid w:val="00A05D17"/>
    <w:rsid w:val="00A05D8C"/>
    <w:rsid w:val="00A05FF4"/>
    <w:rsid w:val="00A06001"/>
    <w:rsid w:val="00A06044"/>
    <w:rsid w:val="00A061D3"/>
    <w:rsid w:val="00A0635F"/>
    <w:rsid w:val="00A06791"/>
    <w:rsid w:val="00A06E2D"/>
    <w:rsid w:val="00A06E9D"/>
    <w:rsid w:val="00A07169"/>
    <w:rsid w:val="00A07424"/>
    <w:rsid w:val="00A07684"/>
    <w:rsid w:val="00A07F04"/>
    <w:rsid w:val="00A104A5"/>
    <w:rsid w:val="00A10619"/>
    <w:rsid w:val="00A10816"/>
    <w:rsid w:val="00A11082"/>
    <w:rsid w:val="00A11665"/>
    <w:rsid w:val="00A12719"/>
    <w:rsid w:val="00A12785"/>
    <w:rsid w:val="00A12A19"/>
    <w:rsid w:val="00A133F1"/>
    <w:rsid w:val="00A13E3F"/>
    <w:rsid w:val="00A14049"/>
    <w:rsid w:val="00A14118"/>
    <w:rsid w:val="00A14276"/>
    <w:rsid w:val="00A144DA"/>
    <w:rsid w:val="00A145F6"/>
    <w:rsid w:val="00A14877"/>
    <w:rsid w:val="00A15487"/>
    <w:rsid w:val="00A16150"/>
    <w:rsid w:val="00A16488"/>
    <w:rsid w:val="00A164FD"/>
    <w:rsid w:val="00A2018E"/>
    <w:rsid w:val="00A2028A"/>
    <w:rsid w:val="00A20CBA"/>
    <w:rsid w:val="00A21862"/>
    <w:rsid w:val="00A21AC1"/>
    <w:rsid w:val="00A220C0"/>
    <w:rsid w:val="00A2243F"/>
    <w:rsid w:val="00A225DC"/>
    <w:rsid w:val="00A22B92"/>
    <w:rsid w:val="00A233D9"/>
    <w:rsid w:val="00A23EDF"/>
    <w:rsid w:val="00A244C6"/>
    <w:rsid w:val="00A24A4F"/>
    <w:rsid w:val="00A24BB0"/>
    <w:rsid w:val="00A24CAD"/>
    <w:rsid w:val="00A2541D"/>
    <w:rsid w:val="00A25460"/>
    <w:rsid w:val="00A25E49"/>
    <w:rsid w:val="00A267E4"/>
    <w:rsid w:val="00A26853"/>
    <w:rsid w:val="00A26D30"/>
    <w:rsid w:val="00A27523"/>
    <w:rsid w:val="00A27783"/>
    <w:rsid w:val="00A306B1"/>
    <w:rsid w:val="00A306D9"/>
    <w:rsid w:val="00A3093F"/>
    <w:rsid w:val="00A30C26"/>
    <w:rsid w:val="00A31060"/>
    <w:rsid w:val="00A31114"/>
    <w:rsid w:val="00A31CAE"/>
    <w:rsid w:val="00A31CFE"/>
    <w:rsid w:val="00A31DE3"/>
    <w:rsid w:val="00A31E9D"/>
    <w:rsid w:val="00A3264D"/>
    <w:rsid w:val="00A32EC6"/>
    <w:rsid w:val="00A32FB7"/>
    <w:rsid w:val="00A33222"/>
    <w:rsid w:val="00A33592"/>
    <w:rsid w:val="00A336BA"/>
    <w:rsid w:val="00A33C7A"/>
    <w:rsid w:val="00A33E42"/>
    <w:rsid w:val="00A341F3"/>
    <w:rsid w:val="00A346D4"/>
    <w:rsid w:val="00A34831"/>
    <w:rsid w:val="00A3597E"/>
    <w:rsid w:val="00A35C63"/>
    <w:rsid w:val="00A35F58"/>
    <w:rsid w:val="00A364B1"/>
    <w:rsid w:val="00A36A42"/>
    <w:rsid w:val="00A36D95"/>
    <w:rsid w:val="00A379D0"/>
    <w:rsid w:val="00A4004F"/>
    <w:rsid w:val="00A40375"/>
    <w:rsid w:val="00A404A0"/>
    <w:rsid w:val="00A40B0C"/>
    <w:rsid w:val="00A40B69"/>
    <w:rsid w:val="00A4138A"/>
    <w:rsid w:val="00A41C14"/>
    <w:rsid w:val="00A41C96"/>
    <w:rsid w:val="00A41ECD"/>
    <w:rsid w:val="00A42281"/>
    <w:rsid w:val="00A42A76"/>
    <w:rsid w:val="00A42ADC"/>
    <w:rsid w:val="00A42D7F"/>
    <w:rsid w:val="00A431ED"/>
    <w:rsid w:val="00A439F6"/>
    <w:rsid w:val="00A43A47"/>
    <w:rsid w:val="00A43A85"/>
    <w:rsid w:val="00A43EBD"/>
    <w:rsid w:val="00A43ECE"/>
    <w:rsid w:val="00A43F60"/>
    <w:rsid w:val="00A442BD"/>
    <w:rsid w:val="00A4430C"/>
    <w:rsid w:val="00A444C8"/>
    <w:rsid w:val="00A44F6B"/>
    <w:rsid w:val="00A45380"/>
    <w:rsid w:val="00A45430"/>
    <w:rsid w:val="00A46284"/>
    <w:rsid w:val="00A4660D"/>
    <w:rsid w:val="00A467B9"/>
    <w:rsid w:val="00A46AA1"/>
    <w:rsid w:val="00A46E21"/>
    <w:rsid w:val="00A4726D"/>
    <w:rsid w:val="00A473EB"/>
    <w:rsid w:val="00A5014B"/>
    <w:rsid w:val="00A50169"/>
    <w:rsid w:val="00A5060D"/>
    <w:rsid w:val="00A50D71"/>
    <w:rsid w:val="00A51488"/>
    <w:rsid w:val="00A5176C"/>
    <w:rsid w:val="00A5193F"/>
    <w:rsid w:val="00A51BEC"/>
    <w:rsid w:val="00A526C5"/>
    <w:rsid w:val="00A529DF"/>
    <w:rsid w:val="00A52ACC"/>
    <w:rsid w:val="00A531DF"/>
    <w:rsid w:val="00A53497"/>
    <w:rsid w:val="00A53522"/>
    <w:rsid w:val="00A53705"/>
    <w:rsid w:val="00A53BCC"/>
    <w:rsid w:val="00A53F95"/>
    <w:rsid w:val="00A53FCC"/>
    <w:rsid w:val="00A54070"/>
    <w:rsid w:val="00A543CE"/>
    <w:rsid w:val="00A54475"/>
    <w:rsid w:val="00A55967"/>
    <w:rsid w:val="00A55B06"/>
    <w:rsid w:val="00A56489"/>
    <w:rsid w:val="00A56850"/>
    <w:rsid w:val="00A570B7"/>
    <w:rsid w:val="00A5733F"/>
    <w:rsid w:val="00A57519"/>
    <w:rsid w:val="00A57F1E"/>
    <w:rsid w:val="00A607C5"/>
    <w:rsid w:val="00A609C8"/>
    <w:rsid w:val="00A60FF9"/>
    <w:rsid w:val="00A61338"/>
    <w:rsid w:val="00A616F4"/>
    <w:rsid w:val="00A621B9"/>
    <w:rsid w:val="00A6235F"/>
    <w:rsid w:val="00A629A4"/>
    <w:rsid w:val="00A62ACC"/>
    <w:rsid w:val="00A62BF4"/>
    <w:rsid w:val="00A63B6C"/>
    <w:rsid w:val="00A648AE"/>
    <w:rsid w:val="00A64B08"/>
    <w:rsid w:val="00A64BC9"/>
    <w:rsid w:val="00A65075"/>
    <w:rsid w:val="00A658C2"/>
    <w:rsid w:val="00A65B24"/>
    <w:rsid w:val="00A6715B"/>
    <w:rsid w:val="00A675F7"/>
    <w:rsid w:val="00A67DCF"/>
    <w:rsid w:val="00A67F41"/>
    <w:rsid w:val="00A67F5D"/>
    <w:rsid w:val="00A7000F"/>
    <w:rsid w:val="00A70516"/>
    <w:rsid w:val="00A70F7B"/>
    <w:rsid w:val="00A712CE"/>
    <w:rsid w:val="00A71604"/>
    <w:rsid w:val="00A7181B"/>
    <w:rsid w:val="00A71A88"/>
    <w:rsid w:val="00A7289F"/>
    <w:rsid w:val="00A72A2F"/>
    <w:rsid w:val="00A73202"/>
    <w:rsid w:val="00A741DC"/>
    <w:rsid w:val="00A7460D"/>
    <w:rsid w:val="00A74DC9"/>
    <w:rsid w:val="00A7543D"/>
    <w:rsid w:val="00A75602"/>
    <w:rsid w:val="00A76244"/>
    <w:rsid w:val="00A76444"/>
    <w:rsid w:val="00A766BA"/>
    <w:rsid w:val="00A76880"/>
    <w:rsid w:val="00A76F50"/>
    <w:rsid w:val="00A778B0"/>
    <w:rsid w:val="00A77BBD"/>
    <w:rsid w:val="00A80316"/>
    <w:rsid w:val="00A80825"/>
    <w:rsid w:val="00A80C35"/>
    <w:rsid w:val="00A816C6"/>
    <w:rsid w:val="00A817AD"/>
    <w:rsid w:val="00A81883"/>
    <w:rsid w:val="00A8204D"/>
    <w:rsid w:val="00A822EE"/>
    <w:rsid w:val="00A8245A"/>
    <w:rsid w:val="00A82508"/>
    <w:rsid w:val="00A82594"/>
    <w:rsid w:val="00A82750"/>
    <w:rsid w:val="00A82B30"/>
    <w:rsid w:val="00A82C34"/>
    <w:rsid w:val="00A82CE6"/>
    <w:rsid w:val="00A8300D"/>
    <w:rsid w:val="00A836DB"/>
    <w:rsid w:val="00A83A19"/>
    <w:rsid w:val="00A83A1F"/>
    <w:rsid w:val="00A83EAD"/>
    <w:rsid w:val="00A843A8"/>
    <w:rsid w:val="00A8444F"/>
    <w:rsid w:val="00A84955"/>
    <w:rsid w:val="00A84C2D"/>
    <w:rsid w:val="00A851D0"/>
    <w:rsid w:val="00A853D4"/>
    <w:rsid w:val="00A856B3"/>
    <w:rsid w:val="00A8686D"/>
    <w:rsid w:val="00A869D9"/>
    <w:rsid w:val="00A8704B"/>
    <w:rsid w:val="00A8757D"/>
    <w:rsid w:val="00A876BC"/>
    <w:rsid w:val="00A9028C"/>
    <w:rsid w:val="00A9048D"/>
    <w:rsid w:val="00A904CE"/>
    <w:rsid w:val="00A905AE"/>
    <w:rsid w:val="00A90D6E"/>
    <w:rsid w:val="00A90F6F"/>
    <w:rsid w:val="00A91050"/>
    <w:rsid w:val="00A91789"/>
    <w:rsid w:val="00A918E3"/>
    <w:rsid w:val="00A91D68"/>
    <w:rsid w:val="00A920F4"/>
    <w:rsid w:val="00A92111"/>
    <w:rsid w:val="00A922CA"/>
    <w:rsid w:val="00A92888"/>
    <w:rsid w:val="00A92918"/>
    <w:rsid w:val="00A9298F"/>
    <w:rsid w:val="00A92E4B"/>
    <w:rsid w:val="00A93246"/>
    <w:rsid w:val="00A933DB"/>
    <w:rsid w:val="00A93B2E"/>
    <w:rsid w:val="00A93B4F"/>
    <w:rsid w:val="00A93D1B"/>
    <w:rsid w:val="00A9438D"/>
    <w:rsid w:val="00A9456B"/>
    <w:rsid w:val="00A94ADB"/>
    <w:rsid w:val="00A94D81"/>
    <w:rsid w:val="00A94E15"/>
    <w:rsid w:val="00A9519D"/>
    <w:rsid w:val="00A9584A"/>
    <w:rsid w:val="00A95BB7"/>
    <w:rsid w:val="00A95C51"/>
    <w:rsid w:val="00A96140"/>
    <w:rsid w:val="00A966A7"/>
    <w:rsid w:val="00A96D5B"/>
    <w:rsid w:val="00A96F27"/>
    <w:rsid w:val="00A971B9"/>
    <w:rsid w:val="00A9734F"/>
    <w:rsid w:val="00A977FB"/>
    <w:rsid w:val="00A97967"/>
    <w:rsid w:val="00AA04B0"/>
    <w:rsid w:val="00AA0B5A"/>
    <w:rsid w:val="00AA136E"/>
    <w:rsid w:val="00AA1975"/>
    <w:rsid w:val="00AA2013"/>
    <w:rsid w:val="00AA228C"/>
    <w:rsid w:val="00AA22BF"/>
    <w:rsid w:val="00AA2304"/>
    <w:rsid w:val="00AA2EAF"/>
    <w:rsid w:val="00AA2F84"/>
    <w:rsid w:val="00AA3017"/>
    <w:rsid w:val="00AA37F6"/>
    <w:rsid w:val="00AA3948"/>
    <w:rsid w:val="00AA394C"/>
    <w:rsid w:val="00AA3CD8"/>
    <w:rsid w:val="00AA3E73"/>
    <w:rsid w:val="00AA3FD9"/>
    <w:rsid w:val="00AA40F3"/>
    <w:rsid w:val="00AA46F6"/>
    <w:rsid w:val="00AA4C7A"/>
    <w:rsid w:val="00AA5264"/>
    <w:rsid w:val="00AA5337"/>
    <w:rsid w:val="00AA5F73"/>
    <w:rsid w:val="00AA619A"/>
    <w:rsid w:val="00AA62D0"/>
    <w:rsid w:val="00AA6520"/>
    <w:rsid w:val="00AA69ED"/>
    <w:rsid w:val="00AA727E"/>
    <w:rsid w:val="00AA72EF"/>
    <w:rsid w:val="00AA7BC5"/>
    <w:rsid w:val="00AA7E31"/>
    <w:rsid w:val="00AB02F1"/>
    <w:rsid w:val="00AB06B8"/>
    <w:rsid w:val="00AB0FCA"/>
    <w:rsid w:val="00AB1462"/>
    <w:rsid w:val="00AB271D"/>
    <w:rsid w:val="00AB2907"/>
    <w:rsid w:val="00AB2BA7"/>
    <w:rsid w:val="00AB30C7"/>
    <w:rsid w:val="00AB3559"/>
    <w:rsid w:val="00AB36F2"/>
    <w:rsid w:val="00AB371E"/>
    <w:rsid w:val="00AB3F47"/>
    <w:rsid w:val="00AB453C"/>
    <w:rsid w:val="00AB493A"/>
    <w:rsid w:val="00AB50A7"/>
    <w:rsid w:val="00AB6374"/>
    <w:rsid w:val="00AB65A2"/>
    <w:rsid w:val="00AB67F5"/>
    <w:rsid w:val="00AB7176"/>
    <w:rsid w:val="00AB7C2D"/>
    <w:rsid w:val="00AB7C47"/>
    <w:rsid w:val="00AB7CC5"/>
    <w:rsid w:val="00AC0B1D"/>
    <w:rsid w:val="00AC10B1"/>
    <w:rsid w:val="00AC144B"/>
    <w:rsid w:val="00AC150B"/>
    <w:rsid w:val="00AC15CE"/>
    <w:rsid w:val="00AC22D5"/>
    <w:rsid w:val="00AC2469"/>
    <w:rsid w:val="00AC389F"/>
    <w:rsid w:val="00AC3E9C"/>
    <w:rsid w:val="00AC4044"/>
    <w:rsid w:val="00AC460A"/>
    <w:rsid w:val="00AC4B27"/>
    <w:rsid w:val="00AC4C56"/>
    <w:rsid w:val="00AC4DFF"/>
    <w:rsid w:val="00AC5141"/>
    <w:rsid w:val="00AC53F7"/>
    <w:rsid w:val="00AC547F"/>
    <w:rsid w:val="00AC62CE"/>
    <w:rsid w:val="00AC6641"/>
    <w:rsid w:val="00AC6831"/>
    <w:rsid w:val="00AC69AA"/>
    <w:rsid w:val="00AC72F2"/>
    <w:rsid w:val="00AC75D1"/>
    <w:rsid w:val="00AC7F62"/>
    <w:rsid w:val="00AD0229"/>
    <w:rsid w:val="00AD0708"/>
    <w:rsid w:val="00AD0948"/>
    <w:rsid w:val="00AD1491"/>
    <w:rsid w:val="00AD1D8C"/>
    <w:rsid w:val="00AD1F78"/>
    <w:rsid w:val="00AD1FCA"/>
    <w:rsid w:val="00AD205E"/>
    <w:rsid w:val="00AD2AE5"/>
    <w:rsid w:val="00AD347C"/>
    <w:rsid w:val="00AD3A57"/>
    <w:rsid w:val="00AD3BE7"/>
    <w:rsid w:val="00AD3BF1"/>
    <w:rsid w:val="00AD4091"/>
    <w:rsid w:val="00AD44AB"/>
    <w:rsid w:val="00AD4B55"/>
    <w:rsid w:val="00AD4E16"/>
    <w:rsid w:val="00AD50A3"/>
    <w:rsid w:val="00AD5A8D"/>
    <w:rsid w:val="00AD61F9"/>
    <w:rsid w:val="00AD67A9"/>
    <w:rsid w:val="00AD6C7F"/>
    <w:rsid w:val="00AD6E57"/>
    <w:rsid w:val="00AD6E6F"/>
    <w:rsid w:val="00AD70D5"/>
    <w:rsid w:val="00AD7168"/>
    <w:rsid w:val="00AD743A"/>
    <w:rsid w:val="00AD7643"/>
    <w:rsid w:val="00AE0232"/>
    <w:rsid w:val="00AE16EC"/>
    <w:rsid w:val="00AE1736"/>
    <w:rsid w:val="00AE1A36"/>
    <w:rsid w:val="00AE1F77"/>
    <w:rsid w:val="00AE1F80"/>
    <w:rsid w:val="00AE2D3A"/>
    <w:rsid w:val="00AE3072"/>
    <w:rsid w:val="00AE3960"/>
    <w:rsid w:val="00AE39C8"/>
    <w:rsid w:val="00AE3BF7"/>
    <w:rsid w:val="00AE4142"/>
    <w:rsid w:val="00AE4415"/>
    <w:rsid w:val="00AE458A"/>
    <w:rsid w:val="00AE4CEA"/>
    <w:rsid w:val="00AE4D6D"/>
    <w:rsid w:val="00AE4DF8"/>
    <w:rsid w:val="00AE4FE6"/>
    <w:rsid w:val="00AE53D2"/>
    <w:rsid w:val="00AE63AE"/>
    <w:rsid w:val="00AE63B6"/>
    <w:rsid w:val="00AE6644"/>
    <w:rsid w:val="00AE6FD9"/>
    <w:rsid w:val="00AE7048"/>
    <w:rsid w:val="00AE70AC"/>
    <w:rsid w:val="00AE78A5"/>
    <w:rsid w:val="00AE7907"/>
    <w:rsid w:val="00AE7A75"/>
    <w:rsid w:val="00AE7B17"/>
    <w:rsid w:val="00AE7FE8"/>
    <w:rsid w:val="00AF02DB"/>
    <w:rsid w:val="00AF033E"/>
    <w:rsid w:val="00AF0D36"/>
    <w:rsid w:val="00AF2775"/>
    <w:rsid w:val="00AF2962"/>
    <w:rsid w:val="00AF2AFF"/>
    <w:rsid w:val="00AF2B6E"/>
    <w:rsid w:val="00AF2E7F"/>
    <w:rsid w:val="00AF30FE"/>
    <w:rsid w:val="00AF3206"/>
    <w:rsid w:val="00AF3AB8"/>
    <w:rsid w:val="00AF3BE6"/>
    <w:rsid w:val="00AF3D45"/>
    <w:rsid w:val="00AF3EE9"/>
    <w:rsid w:val="00AF4D73"/>
    <w:rsid w:val="00AF5057"/>
    <w:rsid w:val="00AF5A7A"/>
    <w:rsid w:val="00AF5A97"/>
    <w:rsid w:val="00AF5D78"/>
    <w:rsid w:val="00AF6107"/>
    <w:rsid w:val="00AF6164"/>
    <w:rsid w:val="00AF6305"/>
    <w:rsid w:val="00AF6512"/>
    <w:rsid w:val="00AF662F"/>
    <w:rsid w:val="00AF6874"/>
    <w:rsid w:val="00AF6BFF"/>
    <w:rsid w:val="00AF6C69"/>
    <w:rsid w:val="00AF6C7F"/>
    <w:rsid w:val="00AF7359"/>
    <w:rsid w:val="00B007DE"/>
    <w:rsid w:val="00B007FD"/>
    <w:rsid w:val="00B0100B"/>
    <w:rsid w:val="00B01500"/>
    <w:rsid w:val="00B016C6"/>
    <w:rsid w:val="00B0180A"/>
    <w:rsid w:val="00B020A9"/>
    <w:rsid w:val="00B023C3"/>
    <w:rsid w:val="00B02A70"/>
    <w:rsid w:val="00B02C38"/>
    <w:rsid w:val="00B02F17"/>
    <w:rsid w:val="00B03181"/>
    <w:rsid w:val="00B031AE"/>
    <w:rsid w:val="00B032EC"/>
    <w:rsid w:val="00B03799"/>
    <w:rsid w:val="00B0487C"/>
    <w:rsid w:val="00B0551E"/>
    <w:rsid w:val="00B05540"/>
    <w:rsid w:val="00B06003"/>
    <w:rsid w:val="00B06011"/>
    <w:rsid w:val="00B060B3"/>
    <w:rsid w:val="00B07650"/>
    <w:rsid w:val="00B0798E"/>
    <w:rsid w:val="00B10272"/>
    <w:rsid w:val="00B10357"/>
    <w:rsid w:val="00B104F1"/>
    <w:rsid w:val="00B10C56"/>
    <w:rsid w:val="00B10C72"/>
    <w:rsid w:val="00B10D00"/>
    <w:rsid w:val="00B10DC2"/>
    <w:rsid w:val="00B112AC"/>
    <w:rsid w:val="00B11C26"/>
    <w:rsid w:val="00B11ED9"/>
    <w:rsid w:val="00B124A1"/>
    <w:rsid w:val="00B127F8"/>
    <w:rsid w:val="00B12BBB"/>
    <w:rsid w:val="00B12C4B"/>
    <w:rsid w:val="00B12FDA"/>
    <w:rsid w:val="00B13258"/>
    <w:rsid w:val="00B13721"/>
    <w:rsid w:val="00B144E2"/>
    <w:rsid w:val="00B14854"/>
    <w:rsid w:val="00B14F26"/>
    <w:rsid w:val="00B150E2"/>
    <w:rsid w:val="00B153A9"/>
    <w:rsid w:val="00B158C9"/>
    <w:rsid w:val="00B1624C"/>
    <w:rsid w:val="00B17260"/>
    <w:rsid w:val="00B17B7D"/>
    <w:rsid w:val="00B17F93"/>
    <w:rsid w:val="00B202D1"/>
    <w:rsid w:val="00B20D40"/>
    <w:rsid w:val="00B20D8B"/>
    <w:rsid w:val="00B20F7B"/>
    <w:rsid w:val="00B21392"/>
    <w:rsid w:val="00B21A15"/>
    <w:rsid w:val="00B2257F"/>
    <w:rsid w:val="00B22BF2"/>
    <w:rsid w:val="00B23908"/>
    <w:rsid w:val="00B23B07"/>
    <w:rsid w:val="00B23B31"/>
    <w:rsid w:val="00B23BE0"/>
    <w:rsid w:val="00B242AF"/>
    <w:rsid w:val="00B24548"/>
    <w:rsid w:val="00B249C7"/>
    <w:rsid w:val="00B25183"/>
    <w:rsid w:val="00B252CD"/>
    <w:rsid w:val="00B2575D"/>
    <w:rsid w:val="00B25B38"/>
    <w:rsid w:val="00B25BEA"/>
    <w:rsid w:val="00B25E99"/>
    <w:rsid w:val="00B26084"/>
    <w:rsid w:val="00B26086"/>
    <w:rsid w:val="00B26453"/>
    <w:rsid w:val="00B26863"/>
    <w:rsid w:val="00B2687E"/>
    <w:rsid w:val="00B26D3F"/>
    <w:rsid w:val="00B26E2C"/>
    <w:rsid w:val="00B26ECF"/>
    <w:rsid w:val="00B27017"/>
    <w:rsid w:val="00B27E7E"/>
    <w:rsid w:val="00B301EB"/>
    <w:rsid w:val="00B30523"/>
    <w:rsid w:val="00B305F9"/>
    <w:rsid w:val="00B30AA5"/>
    <w:rsid w:val="00B30B52"/>
    <w:rsid w:val="00B30E68"/>
    <w:rsid w:val="00B31094"/>
    <w:rsid w:val="00B3130A"/>
    <w:rsid w:val="00B3151A"/>
    <w:rsid w:val="00B31894"/>
    <w:rsid w:val="00B31C33"/>
    <w:rsid w:val="00B31F51"/>
    <w:rsid w:val="00B31FB5"/>
    <w:rsid w:val="00B3201B"/>
    <w:rsid w:val="00B320CB"/>
    <w:rsid w:val="00B3216B"/>
    <w:rsid w:val="00B323C6"/>
    <w:rsid w:val="00B3250A"/>
    <w:rsid w:val="00B32657"/>
    <w:rsid w:val="00B32880"/>
    <w:rsid w:val="00B32B26"/>
    <w:rsid w:val="00B32BFA"/>
    <w:rsid w:val="00B32E52"/>
    <w:rsid w:val="00B32FBD"/>
    <w:rsid w:val="00B34820"/>
    <w:rsid w:val="00B34D7A"/>
    <w:rsid w:val="00B3503E"/>
    <w:rsid w:val="00B353C5"/>
    <w:rsid w:val="00B362D5"/>
    <w:rsid w:val="00B36559"/>
    <w:rsid w:val="00B3669E"/>
    <w:rsid w:val="00B36774"/>
    <w:rsid w:val="00B36FB1"/>
    <w:rsid w:val="00B375ED"/>
    <w:rsid w:val="00B401B5"/>
    <w:rsid w:val="00B4064D"/>
    <w:rsid w:val="00B40B07"/>
    <w:rsid w:val="00B416C4"/>
    <w:rsid w:val="00B4176C"/>
    <w:rsid w:val="00B41CC7"/>
    <w:rsid w:val="00B42280"/>
    <w:rsid w:val="00B42866"/>
    <w:rsid w:val="00B42AE8"/>
    <w:rsid w:val="00B42F47"/>
    <w:rsid w:val="00B43052"/>
    <w:rsid w:val="00B43558"/>
    <w:rsid w:val="00B43AD6"/>
    <w:rsid w:val="00B43F40"/>
    <w:rsid w:val="00B44288"/>
    <w:rsid w:val="00B44530"/>
    <w:rsid w:val="00B44A85"/>
    <w:rsid w:val="00B44F13"/>
    <w:rsid w:val="00B4624E"/>
    <w:rsid w:val="00B46681"/>
    <w:rsid w:val="00B46E69"/>
    <w:rsid w:val="00B4796A"/>
    <w:rsid w:val="00B47991"/>
    <w:rsid w:val="00B47A1D"/>
    <w:rsid w:val="00B50181"/>
    <w:rsid w:val="00B506BD"/>
    <w:rsid w:val="00B5156E"/>
    <w:rsid w:val="00B51645"/>
    <w:rsid w:val="00B51F07"/>
    <w:rsid w:val="00B521E0"/>
    <w:rsid w:val="00B52583"/>
    <w:rsid w:val="00B528A8"/>
    <w:rsid w:val="00B5325D"/>
    <w:rsid w:val="00B53930"/>
    <w:rsid w:val="00B540CE"/>
    <w:rsid w:val="00B5446B"/>
    <w:rsid w:val="00B5475A"/>
    <w:rsid w:val="00B5485B"/>
    <w:rsid w:val="00B55729"/>
    <w:rsid w:val="00B566DD"/>
    <w:rsid w:val="00B569DD"/>
    <w:rsid w:val="00B56ABA"/>
    <w:rsid w:val="00B56BD0"/>
    <w:rsid w:val="00B572D9"/>
    <w:rsid w:val="00B60182"/>
    <w:rsid w:val="00B60694"/>
    <w:rsid w:val="00B610BA"/>
    <w:rsid w:val="00B612F4"/>
    <w:rsid w:val="00B613C0"/>
    <w:rsid w:val="00B61890"/>
    <w:rsid w:val="00B619BE"/>
    <w:rsid w:val="00B621B2"/>
    <w:rsid w:val="00B626BA"/>
    <w:rsid w:val="00B62ECE"/>
    <w:rsid w:val="00B62F94"/>
    <w:rsid w:val="00B6341F"/>
    <w:rsid w:val="00B63CAF"/>
    <w:rsid w:val="00B64155"/>
    <w:rsid w:val="00B6417A"/>
    <w:rsid w:val="00B64660"/>
    <w:rsid w:val="00B64A17"/>
    <w:rsid w:val="00B652C4"/>
    <w:rsid w:val="00B65894"/>
    <w:rsid w:val="00B65A76"/>
    <w:rsid w:val="00B65E40"/>
    <w:rsid w:val="00B666F9"/>
    <w:rsid w:val="00B66817"/>
    <w:rsid w:val="00B677F5"/>
    <w:rsid w:val="00B70428"/>
    <w:rsid w:val="00B70576"/>
    <w:rsid w:val="00B727C7"/>
    <w:rsid w:val="00B72BDF"/>
    <w:rsid w:val="00B72D9F"/>
    <w:rsid w:val="00B72F0F"/>
    <w:rsid w:val="00B732B3"/>
    <w:rsid w:val="00B73555"/>
    <w:rsid w:val="00B73CA8"/>
    <w:rsid w:val="00B73D44"/>
    <w:rsid w:val="00B73D5C"/>
    <w:rsid w:val="00B747B2"/>
    <w:rsid w:val="00B74C50"/>
    <w:rsid w:val="00B75612"/>
    <w:rsid w:val="00B758CE"/>
    <w:rsid w:val="00B76785"/>
    <w:rsid w:val="00B77173"/>
    <w:rsid w:val="00B77A60"/>
    <w:rsid w:val="00B77E4C"/>
    <w:rsid w:val="00B77E59"/>
    <w:rsid w:val="00B80289"/>
    <w:rsid w:val="00B803CB"/>
    <w:rsid w:val="00B805EC"/>
    <w:rsid w:val="00B80961"/>
    <w:rsid w:val="00B80B58"/>
    <w:rsid w:val="00B8107C"/>
    <w:rsid w:val="00B81CDB"/>
    <w:rsid w:val="00B821A7"/>
    <w:rsid w:val="00B8241B"/>
    <w:rsid w:val="00B82455"/>
    <w:rsid w:val="00B8266D"/>
    <w:rsid w:val="00B82E14"/>
    <w:rsid w:val="00B82F0C"/>
    <w:rsid w:val="00B830AB"/>
    <w:rsid w:val="00B83691"/>
    <w:rsid w:val="00B83744"/>
    <w:rsid w:val="00B83F21"/>
    <w:rsid w:val="00B840EF"/>
    <w:rsid w:val="00B842FD"/>
    <w:rsid w:val="00B845DD"/>
    <w:rsid w:val="00B84A95"/>
    <w:rsid w:val="00B84DD3"/>
    <w:rsid w:val="00B85526"/>
    <w:rsid w:val="00B85604"/>
    <w:rsid w:val="00B85690"/>
    <w:rsid w:val="00B858D0"/>
    <w:rsid w:val="00B85D37"/>
    <w:rsid w:val="00B85E16"/>
    <w:rsid w:val="00B86305"/>
    <w:rsid w:val="00B86738"/>
    <w:rsid w:val="00B87103"/>
    <w:rsid w:val="00B87402"/>
    <w:rsid w:val="00B87522"/>
    <w:rsid w:val="00B87707"/>
    <w:rsid w:val="00B87B97"/>
    <w:rsid w:val="00B87FD9"/>
    <w:rsid w:val="00B90D65"/>
    <w:rsid w:val="00B90F9E"/>
    <w:rsid w:val="00B91515"/>
    <w:rsid w:val="00B9186E"/>
    <w:rsid w:val="00B91DBC"/>
    <w:rsid w:val="00B92360"/>
    <w:rsid w:val="00B92571"/>
    <w:rsid w:val="00B92845"/>
    <w:rsid w:val="00B9288C"/>
    <w:rsid w:val="00B92894"/>
    <w:rsid w:val="00B93625"/>
    <w:rsid w:val="00B938DD"/>
    <w:rsid w:val="00B93E8E"/>
    <w:rsid w:val="00B949EC"/>
    <w:rsid w:val="00B9538A"/>
    <w:rsid w:val="00B95891"/>
    <w:rsid w:val="00B95AE2"/>
    <w:rsid w:val="00B95CFA"/>
    <w:rsid w:val="00B95F03"/>
    <w:rsid w:val="00B9628B"/>
    <w:rsid w:val="00B96AFE"/>
    <w:rsid w:val="00B96C7E"/>
    <w:rsid w:val="00B96FBF"/>
    <w:rsid w:val="00B974A0"/>
    <w:rsid w:val="00B978C1"/>
    <w:rsid w:val="00BA03A3"/>
    <w:rsid w:val="00BA08B0"/>
    <w:rsid w:val="00BA0AA4"/>
    <w:rsid w:val="00BA1A19"/>
    <w:rsid w:val="00BA1C24"/>
    <w:rsid w:val="00BA230C"/>
    <w:rsid w:val="00BA2339"/>
    <w:rsid w:val="00BA27FD"/>
    <w:rsid w:val="00BA28C7"/>
    <w:rsid w:val="00BA297C"/>
    <w:rsid w:val="00BA2C3F"/>
    <w:rsid w:val="00BA2EAA"/>
    <w:rsid w:val="00BA2EEB"/>
    <w:rsid w:val="00BA34B7"/>
    <w:rsid w:val="00BA34DA"/>
    <w:rsid w:val="00BA35F1"/>
    <w:rsid w:val="00BA3B77"/>
    <w:rsid w:val="00BA46CA"/>
    <w:rsid w:val="00BA5302"/>
    <w:rsid w:val="00BA5821"/>
    <w:rsid w:val="00BA5E5C"/>
    <w:rsid w:val="00BA6030"/>
    <w:rsid w:val="00BA6A0D"/>
    <w:rsid w:val="00BA7627"/>
    <w:rsid w:val="00BA7658"/>
    <w:rsid w:val="00BA7B03"/>
    <w:rsid w:val="00BA7BE5"/>
    <w:rsid w:val="00BA7CD5"/>
    <w:rsid w:val="00BA7CF9"/>
    <w:rsid w:val="00BB0B31"/>
    <w:rsid w:val="00BB0EEB"/>
    <w:rsid w:val="00BB1081"/>
    <w:rsid w:val="00BB11D8"/>
    <w:rsid w:val="00BB1291"/>
    <w:rsid w:val="00BB17AA"/>
    <w:rsid w:val="00BB2468"/>
    <w:rsid w:val="00BB25F6"/>
    <w:rsid w:val="00BB2A74"/>
    <w:rsid w:val="00BB2B11"/>
    <w:rsid w:val="00BB2D54"/>
    <w:rsid w:val="00BB3B00"/>
    <w:rsid w:val="00BB3FDD"/>
    <w:rsid w:val="00BB468F"/>
    <w:rsid w:val="00BB4E73"/>
    <w:rsid w:val="00BB5461"/>
    <w:rsid w:val="00BB58D5"/>
    <w:rsid w:val="00BB5BF2"/>
    <w:rsid w:val="00BB5ED9"/>
    <w:rsid w:val="00BB6739"/>
    <w:rsid w:val="00BB6CF0"/>
    <w:rsid w:val="00BB6D6D"/>
    <w:rsid w:val="00BB71CC"/>
    <w:rsid w:val="00BB71D3"/>
    <w:rsid w:val="00BB7347"/>
    <w:rsid w:val="00BB7618"/>
    <w:rsid w:val="00BB778E"/>
    <w:rsid w:val="00BC020C"/>
    <w:rsid w:val="00BC0A59"/>
    <w:rsid w:val="00BC0A91"/>
    <w:rsid w:val="00BC0D72"/>
    <w:rsid w:val="00BC0DF4"/>
    <w:rsid w:val="00BC14EA"/>
    <w:rsid w:val="00BC1DDC"/>
    <w:rsid w:val="00BC1F04"/>
    <w:rsid w:val="00BC2562"/>
    <w:rsid w:val="00BC4467"/>
    <w:rsid w:val="00BC460F"/>
    <w:rsid w:val="00BC50CB"/>
    <w:rsid w:val="00BC51B0"/>
    <w:rsid w:val="00BC53B3"/>
    <w:rsid w:val="00BC57A9"/>
    <w:rsid w:val="00BC58DF"/>
    <w:rsid w:val="00BC59AA"/>
    <w:rsid w:val="00BC5E1F"/>
    <w:rsid w:val="00BC639B"/>
    <w:rsid w:val="00BC670B"/>
    <w:rsid w:val="00BC7450"/>
    <w:rsid w:val="00BC7BA6"/>
    <w:rsid w:val="00BC7BB3"/>
    <w:rsid w:val="00BC7ED3"/>
    <w:rsid w:val="00BD0BAB"/>
    <w:rsid w:val="00BD1563"/>
    <w:rsid w:val="00BD1853"/>
    <w:rsid w:val="00BD28F8"/>
    <w:rsid w:val="00BD2994"/>
    <w:rsid w:val="00BD2B38"/>
    <w:rsid w:val="00BD33FC"/>
    <w:rsid w:val="00BD36A3"/>
    <w:rsid w:val="00BD3B6C"/>
    <w:rsid w:val="00BD3E33"/>
    <w:rsid w:val="00BD3F5D"/>
    <w:rsid w:val="00BD3FE5"/>
    <w:rsid w:val="00BD4044"/>
    <w:rsid w:val="00BD5706"/>
    <w:rsid w:val="00BD615D"/>
    <w:rsid w:val="00BD6E1F"/>
    <w:rsid w:val="00BD7063"/>
    <w:rsid w:val="00BD7270"/>
    <w:rsid w:val="00BD741C"/>
    <w:rsid w:val="00BD7799"/>
    <w:rsid w:val="00BD7D82"/>
    <w:rsid w:val="00BE070E"/>
    <w:rsid w:val="00BE0D02"/>
    <w:rsid w:val="00BE12A7"/>
    <w:rsid w:val="00BE197E"/>
    <w:rsid w:val="00BE1D05"/>
    <w:rsid w:val="00BE1E31"/>
    <w:rsid w:val="00BE2598"/>
    <w:rsid w:val="00BE2721"/>
    <w:rsid w:val="00BE29E4"/>
    <w:rsid w:val="00BE2F33"/>
    <w:rsid w:val="00BE39B3"/>
    <w:rsid w:val="00BE3CEA"/>
    <w:rsid w:val="00BE3CF5"/>
    <w:rsid w:val="00BE3D91"/>
    <w:rsid w:val="00BE4ABE"/>
    <w:rsid w:val="00BE4E62"/>
    <w:rsid w:val="00BE4FEB"/>
    <w:rsid w:val="00BE5495"/>
    <w:rsid w:val="00BE6089"/>
    <w:rsid w:val="00BE63D1"/>
    <w:rsid w:val="00BE6BEA"/>
    <w:rsid w:val="00BE6C0C"/>
    <w:rsid w:val="00BE6C4E"/>
    <w:rsid w:val="00BE6CBF"/>
    <w:rsid w:val="00BE759D"/>
    <w:rsid w:val="00BE778E"/>
    <w:rsid w:val="00BE7C40"/>
    <w:rsid w:val="00BF01B0"/>
    <w:rsid w:val="00BF0498"/>
    <w:rsid w:val="00BF04F6"/>
    <w:rsid w:val="00BF0645"/>
    <w:rsid w:val="00BF08EB"/>
    <w:rsid w:val="00BF0CDD"/>
    <w:rsid w:val="00BF11D0"/>
    <w:rsid w:val="00BF1741"/>
    <w:rsid w:val="00BF2148"/>
    <w:rsid w:val="00BF2275"/>
    <w:rsid w:val="00BF3520"/>
    <w:rsid w:val="00BF3BBB"/>
    <w:rsid w:val="00BF41DA"/>
    <w:rsid w:val="00BF4698"/>
    <w:rsid w:val="00BF471A"/>
    <w:rsid w:val="00BF4D38"/>
    <w:rsid w:val="00BF4DD4"/>
    <w:rsid w:val="00BF5323"/>
    <w:rsid w:val="00BF626A"/>
    <w:rsid w:val="00BF64D2"/>
    <w:rsid w:val="00BF6A10"/>
    <w:rsid w:val="00BF6A3A"/>
    <w:rsid w:val="00BF6A4C"/>
    <w:rsid w:val="00BF7441"/>
    <w:rsid w:val="00BF79CA"/>
    <w:rsid w:val="00C0027F"/>
    <w:rsid w:val="00C0053C"/>
    <w:rsid w:val="00C00626"/>
    <w:rsid w:val="00C00D6C"/>
    <w:rsid w:val="00C01623"/>
    <w:rsid w:val="00C01B17"/>
    <w:rsid w:val="00C01F33"/>
    <w:rsid w:val="00C02011"/>
    <w:rsid w:val="00C02310"/>
    <w:rsid w:val="00C0231A"/>
    <w:rsid w:val="00C02519"/>
    <w:rsid w:val="00C025E6"/>
    <w:rsid w:val="00C02617"/>
    <w:rsid w:val="00C02DCF"/>
    <w:rsid w:val="00C03109"/>
    <w:rsid w:val="00C03238"/>
    <w:rsid w:val="00C036D0"/>
    <w:rsid w:val="00C037C7"/>
    <w:rsid w:val="00C03E41"/>
    <w:rsid w:val="00C04121"/>
    <w:rsid w:val="00C04918"/>
    <w:rsid w:val="00C04957"/>
    <w:rsid w:val="00C05438"/>
    <w:rsid w:val="00C05765"/>
    <w:rsid w:val="00C05DC6"/>
    <w:rsid w:val="00C068E9"/>
    <w:rsid w:val="00C069FB"/>
    <w:rsid w:val="00C06BEA"/>
    <w:rsid w:val="00C07375"/>
    <w:rsid w:val="00C07759"/>
    <w:rsid w:val="00C07972"/>
    <w:rsid w:val="00C07F56"/>
    <w:rsid w:val="00C07F76"/>
    <w:rsid w:val="00C1071A"/>
    <w:rsid w:val="00C10A48"/>
    <w:rsid w:val="00C11E5F"/>
    <w:rsid w:val="00C11F1D"/>
    <w:rsid w:val="00C12262"/>
    <w:rsid w:val="00C12348"/>
    <w:rsid w:val="00C12583"/>
    <w:rsid w:val="00C1272A"/>
    <w:rsid w:val="00C12801"/>
    <w:rsid w:val="00C12C08"/>
    <w:rsid w:val="00C12EA5"/>
    <w:rsid w:val="00C1332F"/>
    <w:rsid w:val="00C13C05"/>
    <w:rsid w:val="00C13C10"/>
    <w:rsid w:val="00C13CD5"/>
    <w:rsid w:val="00C14550"/>
    <w:rsid w:val="00C14B2E"/>
    <w:rsid w:val="00C14CFE"/>
    <w:rsid w:val="00C14F84"/>
    <w:rsid w:val="00C1584F"/>
    <w:rsid w:val="00C15880"/>
    <w:rsid w:val="00C15A76"/>
    <w:rsid w:val="00C1613F"/>
    <w:rsid w:val="00C16626"/>
    <w:rsid w:val="00C16AB8"/>
    <w:rsid w:val="00C16F39"/>
    <w:rsid w:val="00C1753A"/>
    <w:rsid w:val="00C1776D"/>
    <w:rsid w:val="00C2045E"/>
    <w:rsid w:val="00C20875"/>
    <w:rsid w:val="00C20A88"/>
    <w:rsid w:val="00C20B59"/>
    <w:rsid w:val="00C212E0"/>
    <w:rsid w:val="00C21592"/>
    <w:rsid w:val="00C219D4"/>
    <w:rsid w:val="00C21AF0"/>
    <w:rsid w:val="00C21E64"/>
    <w:rsid w:val="00C21EF4"/>
    <w:rsid w:val="00C22039"/>
    <w:rsid w:val="00C2205A"/>
    <w:rsid w:val="00C22365"/>
    <w:rsid w:val="00C22C52"/>
    <w:rsid w:val="00C230C0"/>
    <w:rsid w:val="00C23116"/>
    <w:rsid w:val="00C23A0C"/>
    <w:rsid w:val="00C23EDD"/>
    <w:rsid w:val="00C23F65"/>
    <w:rsid w:val="00C241DA"/>
    <w:rsid w:val="00C24DB5"/>
    <w:rsid w:val="00C25738"/>
    <w:rsid w:val="00C25B7F"/>
    <w:rsid w:val="00C25C6B"/>
    <w:rsid w:val="00C25E18"/>
    <w:rsid w:val="00C25F07"/>
    <w:rsid w:val="00C25FAB"/>
    <w:rsid w:val="00C2660B"/>
    <w:rsid w:val="00C26AC6"/>
    <w:rsid w:val="00C27369"/>
    <w:rsid w:val="00C30150"/>
    <w:rsid w:val="00C305AF"/>
    <w:rsid w:val="00C30877"/>
    <w:rsid w:val="00C30B7E"/>
    <w:rsid w:val="00C30D56"/>
    <w:rsid w:val="00C30D6D"/>
    <w:rsid w:val="00C31229"/>
    <w:rsid w:val="00C32654"/>
    <w:rsid w:val="00C3277A"/>
    <w:rsid w:val="00C32D56"/>
    <w:rsid w:val="00C32D8D"/>
    <w:rsid w:val="00C32ED2"/>
    <w:rsid w:val="00C33ABF"/>
    <w:rsid w:val="00C33BE9"/>
    <w:rsid w:val="00C33E4A"/>
    <w:rsid w:val="00C34038"/>
    <w:rsid w:val="00C34153"/>
    <w:rsid w:val="00C343BD"/>
    <w:rsid w:val="00C344E5"/>
    <w:rsid w:val="00C3476A"/>
    <w:rsid w:val="00C34D63"/>
    <w:rsid w:val="00C3528F"/>
    <w:rsid w:val="00C3535C"/>
    <w:rsid w:val="00C35ED3"/>
    <w:rsid w:val="00C36019"/>
    <w:rsid w:val="00C36E6D"/>
    <w:rsid w:val="00C36E75"/>
    <w:rsid w:val="00C375B1"/>
    <w:rsid w:val="00C404B7"/>
    <w:rsid w:val="00C407A2"/>
    <w:rsid w:val="00C40965"/>
    <w:rsid w:val="00C40D8B"/>
    <w:rsid w:val="00C41220"/>
    <w:rsid w:val="00C412CE"/>
    <w:rsid w:val="00C42088"/>
    <w:rsid w:val="00C421B4"/>
    <w:rsid w:val="00C4239E"/>
    <w:rsid w:val="00C42C1B"/>
    <w:rsid w:val="00C4338F"/>
    <w:rsid w:val="00C43AEF"/>
    <w:rsid w:val="00C442F3"/>
    <w:rsid w:val="00C444D2"/>
    <w:rsid w:val="00C44FD5"/>
    <w:rsid w:val="00C45108"/>
    <w:rsid w:val="00C45D9E"/>
    <w:rsid w:val="00C4620C"/>
    <w:rsid w:val="00C4642F"/>
    <w:rsid w:val="00C46651"/>
    <w:rsid w:val="00C46A0C"/>
    <w:rsid w:val="00C46CE8"/>
    <w:rsid w:val="00C4736B"/>
    <w:rsid w:val="00C47472"/>
    <w:rsid w:val="00C47681"/>
    <w:rsid w:val="00C4777A"/>
    <w:rsid w:val="00C50552"/>
    <w:rsid w:val="00C50D90"/>
    <w:rsid w:val="00C5112A"/>
    <w:rsid w:val="00C513E5"/>
    <w:rsid w:val="00C51894"/>
    <w:rsid w:val="00C51A42"/>
    <w:rsid w:val="00C51B18"/>
    <w:rsid w:val="00C51E8A"/>
    <w:rsid w:val="00C51FFF"/>
    <w:rsid w:val="00C52BFA"/>
    <w:rsid w:val="00C52DD2"/>
    <w:rsid w:val="00C52F17"/>
    <w:rsid w:val="00C53055"/>
    <w:rsid w:val="00C531FE"/>
    <w:rsid w:val="00C532D4"/>
    <w:rsid w:val="00C5377F"/>
    <w:rsid w:val="00C5385D"/>
    <w:rsid w:val="00C53F9B"/>
    <w:rsid w:val="00C53FE2"/>
    <w:rsid w:val="00C54D60"/>
    <w:rsid w:val="00C54E09"/>
    <w:rsid w:val="00C54F09"/>
    <w:rsid w:val="00C55201"/>
    <w:rsid w:val="00C5546E"/>
    <w:rsid w:val="00C554BA"/>
    <w:rsid w:val="00C55680"/>
    <w:rsid w:val="00C558F4"/>
    <w:rsid w:val="00C55E17"/>
    <w:rsid w:val="00C562B3"/>
    <w:rsid w:val="00C56849"/>
    <w:rsid w:val="00C57A32"/>
    <w:rsid w:val="00C57BF8"/>
    <w:rsid w:val="00C57E37"/>
    <w:rsid w:val="00C61162"/>
    <w:rsid w:val="00C6147C"/>
    <w:rsid w:val="00C614AB"/>
    <w:rsid w:val="00C61EA9"/>
    <w:rsid w:val="00C61FDA"/>
    <w:rsid w:val="00C62D65"/>
    <w:rsid w:val="00C62F4B"/>
    <w:rsid w:val="00C63248"/>
    <w:rsid w:val="00C63632"/>
    <w:rsid w:val="00C64566"/>
    <w:rsid w:val="00C646F2"/>
    <w:rsid w:val="00C6495F"/>
    <w:rsid w:val="00C64E93"/>
    <w:rsid w:val="00C65CFC"/>
    <w:rsid w:val="00C65FE6"/>
    <w:rsid w:val="00C66225"/>
    <w:rsid w:val="00C66BA0"/>
    <w:rsid w:val="00C66D5D"/>
    <w:rsid w:val="00C66FE4"/>
    <w:rsid w:val="00C673C1"/>
    <w:rsid w:val="00C673F1"/>
    <w:rsid w:val="00C675C9"/>
    <w:rsid w:val="00C67664"/>
    <w:rsid w:val="00C67B11"/>
    <w:rsid w:val="00C70488"/>
    <w:rsid w:val="00C70A97"/>
    <w:rsid w:val="00C711EE"/>
    <w:rsid w:val="00C717E3"/>
    <w:rsid w:val="00C71EE4"/>
    <w:rsid w:val="00C72084"/>
    <w:rsid w:val="00C72A2F"/>
    <w:rsid w:val="00C72C1C"/>
    <w:rsid w:val="00C73249"/>
    <w:rsid w:val="00C73327"/>
    <w:rsid w:val="00C7355E"/>
    <w:rsid w:val="00C738B7"/>
    <w:rsid w:val="00C739BF"/>
    <w:rsid w:val="00C74275"/>
    <w:rsid w:val="00C748D4"/>
    <w:rsid w:val="00C74CEA"/>
    <w:rsid w:val="00C75184"/>
    <w:rsid w:val="00C7550B"/>
    <w:rsid w:val="00C75A1B"/>
    <w:rsid w:val="00C75B4C"/>
    <w:rsid w:val="00C75D62"/>
    <w:rsid w:val="00C75D94"/>
    <w:rsid w:val="00C76296"/>
    <w:rsid w:val="00C76454"/>
    <w:rsid w:val="00C76947"/>
    <w:rsid w:val="00C772F6"/>
    <w:rsid w:val="00C77DDA"/>
    <w:rsid w:val="00C77E6A"/>
    <w:rsid w:val="00C77E9A"/>
    <w:rsid w:val="00C80285"/>
    <w:rsid w:val="00C80DE3"/>
    <w:rsid w:val="00C80F01"/>
    <w:rsid w:val="00C80FBB"/>
    <w:rsid w:val="00C81249"/>
    <w:rsid w:val="00C8170D"/>
    <w:rsid w:val="00C81D7E"/>
    <w:rsid w:val="00C824A3"/>
    <w:rsid w:val="00C8265B"/>
    <w:rsid w:val="00C82942"/>
    <w:rsid w:val="00C8296E"/>
    <w:rsid w:val="00C82D1B"/>
    <w:rsid w:val="00C8368D"/>
    <w:rsid w:val="00C841D6"/>
    <w:rsid w:val="00C8440E"/>
    <w:rsid w:val="00C84737"/>
    <w:rsid w:val="00C852A2"/>
    <w:rsid w:val="00C85A3A"/>
    <w:rsid w:val="00C86CC1"/>
    <w:rsid w:val="00C8711E"/>
    <w:rsid w:val="00C879EF"/>
    <w:rsid w:val="00C900EA"/>
    <w:rsid w:val="00C91081"/>
    <w:rsid w:val="00C91702"/>
    <w:rsid w:val="00C91A81"/>
    <w:rsid w:val="00C91E59"/>
    <w:rsid w:val="00C9206E"/>
    <w:rsid w:val="00C92115"/>
    <w:rsid w:val="00C92702"/>
    <w:rsid w:val="00C9288F"/>
    <w:rsid w:val="00C92A96"/>
    <w:rsid w:val="00C92F56"/>
    <w:rsid w:val="00C93081"/>
    <w:rsid w:val="00C9368A"/>
    <w:rsid w:val="00C93860"/>
    <w:rsid w:val="00C94167"/>
    <w:rsid w:val="00C945F1"/>
    <w:rsid w:val="00C94892"/>
    <w:rsid w:val="00C948D1"/>
    <w:rsid w:val="00C94A6B"/>
    <w:rsid w:val="00C95170"/>
    <w:rsid w:val="00C955F5"/>
    <w:rsid w:val="00C9590D"/>
    <w:rsid w:val="00C961F6"/>
    <w:rsid w:val="00C96719"/>
    <w:rsid w:val="00C96A6E"/>
    <w:rsid w:val="00C96AC5"/>
    <w:rsid w:val="00C96F49"/>
    <w:rsid w:val="00C9704F"/>
    <w:rsid w:val="00C970AF"/>
    <w:rsid w:val="00C972FE"/>
    <w:rsid w:val="00C975B6"/>
    <w:rsid w:val="00C97981"/>
    <w:rsid w:val="00C97BCE"/>
    <w:rsid w:val="00C97E3C"/>
    <w:rsid w:val="00C97EF1"/>
    <w:rsid w:val="00CA0969"/>
    <w:rsid w:val="00CA09BF"/>
    <w:rsid w:val="00CA11F1"/>
    <w:rsid w:val="00CA16C6"/>
    <w:rsid w:val="00CA1ACD"/>
    <w:rsid w:val="00CA28B9"/>
    <w:rsid w:val="00CA2BF7"/>
    <w:rsid w:val="00CA2E03"/>
    <w:rsid w:val="00CA3561"/>
    <w:rsid w:val="00CA3599"/>
    <w:rsid w:val="00CA366D"/>
    <w:rsid w:val="00CA43FF"/>
    <w:rsid w:val="00CA44A4"/>
    <w:rsid w:val="00CA481D"/>
    <w:rsid w:val="00CA4833"/>
    <w:rsid w:val="00CA48A5"/>
    <w:rsid w:val="00CA4EB9"/>
    <w:rsid w:val="00CA504A"/>
    <w:rsid w:val="00CA5342"/>
    <w:rsid w:val="00CA54F6"/>
    <w:rsid w:val="00CA55A2"/>
    <w:rsid w:val="00CA598A"/>
    <w:rsid w:val="00CA5B7C"/>
    <w:rsid w:val="00CA5E19"/>
    <w:rsid w:val="00CA6134"/>
    <w:rsid w:val="00CA6779"/>
    <w:rsid w:val="00CA6CB9"/>
    <w:rsid w:val="00CA6DFD"/>
    <w:rsid w:val="00CA6FE5"/>
    <w:rsid w:val="00CA715E"/>
    <w:rsid w:val="00CA729D"/>
    <w:rsid w:val="00CA7860"/>
    <w:rsid w:val="00CA7BA3"/>
    <w:rsid w:val="00CA7C99"/>
    <w:rsid w:val="00CB05EA"/>
    <w:rsid w:val="00CB102D"/>
    <w:rsid w:val="00CB1238"/>
    <w:rsid w:val="00CB1701"/>
    <w:rsid w:val="00CB173F"/>
    <w:rsid w:val="00CB20B8"/>
    <w:rsid w:val="00CB2514"/>
    <w:rsid w:val="00CB2F89"/>
    <w:rsid w:val="00CB32AF"/>
    <w:rsid w:val="00CB3A71"/>
    <w:rsid w:val="00CB44CF"/>
    <w:rsid w:val="00CB4C2C"/>
    <w:rsid w:val="00CB574E"/>
    <w:rsid w:val="00CB5D68"/>
    <w:rsid w:val="00CB5FD6"/>
    <w:rsid w:val="00CB61DA"/>
    <w:rsid w:val="00CB6862"/>
    <w:rsid w:val="00CB6D11"/>
    <w:rsid w:val="00CB733D"/>
    <w:rsid w:val="00CB7416"/>
    <w:rsid w:val="00CC0334"/>
    <w:rsid w:val="00CC0387"/>
    <w:rsid w:val="00CC03A9"/>
    <w:rsid w:val="00CC0E1D"/>
    <w:rsid w:val="00CC1339"/>
    <w:rsid w:val="00CC142C"/>
    <w:rsid w:val="00CC15F2"/>
    <w:rsid w:val="00CC173E"/>
    <w:rsid w:val="00CC1775"/>
    <w:rsid w:val="00CC1933"/>
    <w:rsid w:val="00CC200A"/>
    <w:rsid w:val="00CC2414"/>
    <w:rsid w:val="00CC265E"/>
    <w:rsid w:val="00CC27FC"/>
    <w:rsid w:val="00CC2959"/>
    <w:rsid w:val="00CC2986"/>
    <w:rsid w:val="00CC2D56"/>
    <w:rsid w:val="00CC2F7C"/>
    <w:rsid w:val="00CC3D8A"/>
    <w:rsid w:val="00CC3E91"/>
    <w:rsid w:val="00CC4B3A"/>
    <w:rsid w:val="00CC4C0B"/>
    <w:rsid w:val="00CC4C1F"/>
    <w:rsid w:val="00CC5589"/>
    <w:rsid w:val="00CC5C35"/>
    <w:rsid w:val="00CC5ECD"/>
    <w:rsid w:val="00CC61F4"/>
    <w:rsid w:val="00CC63A8"/>
    <w:rsid w:val="00CC63BC"/>
    <w:rsid w:val="00CC651D"/>
    <w:rsid w:val="00CC655C"/>
    <w:rsid w:val="00CC65AC"/>
    <w:rsid w:val="00CC746C"/>
    <w:rsid w:val="00CD07E2"/>
    <w:rsid w:val="00CD0BB6"/>
    <w:rsid w:val="00CD0EB1"/>
    <w:rsid w:val="00CD1AEF"/>
    <w:rsid w:val="00CD20D1"/>
    <w:rsid w:val="00CD28C6"/>
    <w:rsid w:val="00CD32B3"/>
    <w:rsid w:val="00CD390B"/>
    <w:rsid w:val="00CD4631"/>
    <w:rsid w:val="00CD4D8F"/>
    <w:rsid w:val="00CD51A0"/>
    <w:rsid w:val="00CD5812"/>
    <w:rsid w:val="00CD5C6A"/>
    <w:rsid w:val="00CD6073"/>
    <w:rsid w:val="00CD6192"/>
    <w:rsid w:val="00CD6BD0"/>
    <w:rsid w:val="00CD6C12"/>
    <w:rsid w:val="00CD6FCA"/>
    <w:rsid w:val="00CD708F"/>
    <w:rsid w:val="00CD73CF"/>
    <w:rsid w:val="00CD778C"/>
    <w:rsid w:val="00CE0159"/>
    <w:rsid w:val="00CE0237"/>
    <w:rsid w:val="00CE0358"/>
    <w:rsid w:val="00CE03A6"/>
    <w:rsid w:val="00CE0853"/>
    <w:rsid w:val="00CE09D7"/>
    <w:rsid w:val="00CE0C53"/>
    <w:rsid w:val="00CE0CAA"/>
    <w:rsid w:val="00CE111B"/>
    <w:rsid w:val="00CE13A8"/>
    <w:rsid w:val="00CE14B7"/>
    <w:rsid w:val="00CE19C8"/>
    <w:rsid w:val="00CE1E04"/>
    <w:rsid w:val="00CE2CA2"/>
    <w:rsid w:val="00CE311C"/>
    <w:rsid w:val="00CE32A0"/>
    <w:rsid w:val="00CE391F"/>
    <w:rsid w:val="00CE39B0"/>
    <w:rsid w:val="00CE3DBD"/>
    <w:rsid w:val="00CE4FBD"/>
    <w:rsid w:val="00CE571F"/>
    <w:rsid w:val="00CE6004"/>
    <w:rsid w:val="00CE6844"/>
    <w:rsid w:val="00CE6917"/>
    <w:rsid w:val="00CE692D"/>
    <w:rsid w:val="00CE6EAF"/>
    <w:rsid w:val="00CE7808"/>
    <w:rsid w:val="00CE7CCB"/>
    <w:rsid w:val="00CF0ABD"/>
    <w:rsid w:val="00CF0EFC"/>
    <w:rsid w:val="00CF11A7"/>
    <w:rsid w:val="00CF169C"/>
    <w:rsid w:val="00CF189A"/>
    <w:rsid w:val="00CF18B8"/>
    <w:rsid w:val="00CF19F9"/>
    <w:rsid w:val="00CF2D8A"/>
    <w:rsid w:val="00CF33ED"/>
    <w:rsid w:val="00CF3678"/>
    <w:rsid w:val="00CF40EC"/>
    <w:rsid w:val="00CF4314"/>
    <w:rsid w:val="00CF475B"/>
    <w:rsid w:val="00CF58FA"/>
    <w:rsid w:val="00CF61BB"/>
    <w:rsid w:val="00CF67B3"/>
    <w:rsid w:val="00CF691F"/>
    <w:rsid w:val="00CF6A1E"/>
    <w:rsid w:val="00CF6AC8"/>
    <w:rsid w:val="00CF6B92"/>
    <w:rsid w:val="00CF6D49"/>
    <w:rsid w:val="00CF7085"/>
    <w:rsid w:val="00CF7A7C"/>
    <w:rsid w:val="00CF7B93"/>
    <w:rsid w:val="00D0056F"/>
    <w:rsid w:val="00D012C4"/>
    <w:rsid w:val="00D013CD"/>
    <w:rsid w:val="00D01733"/>
    <w:rsid w:val="00D017A3"/>
    <w:rsid w:val="00D01D19"/>
    <w:rsid w:val="00D022E1"/>
    <w:rsid w:val="00D02AE6"/>
    <w:rsid w:val="00D02EE6"/>
    <w:rsid w:val="00D02F23"/>
    <w:rsid w:val="00D02FAA"/>
    <w:rsid w:val="00D03584"/>
    <w:rsid w:val="00D03930"/>
    <w:rsid w:val="00D03A4F"/>
    <w:rsid w:val="00D0410A"/>
    <w:rsid w:val="00D04542"/>
    <w:rsid w:val="00D0487F"/>
    <w:rsid w:val="00D04E62"/>
    <w:rsid w:val="00D053E8"/>
    <w:rsid w:val="00D0557A"/>
    <w:rsid w:val="00D05EBE"/>
    <w:rsid w:val="00D067A8"/>
    <w:rsid w:val="00D067B8"/>
    <w:rsid w:val="00D068AF"/>
    <w:rsid w:val="00D10226"/>
    <w:rsid w:val="00D10670"/>
    <w:rsid w:val="00D10A0C"/>
    <w:rsid w:val="00D11047"/>
    <w:rsid w:val="00D1104A"/>
    <w:rsid w:val="00D11D50"/>
    <w:rsid w:val="00D11E07"/>
    <w:rsid w:val="00D11F6B"/>
    <w:rsid w:val="00D12899"/>
    <w:rsid w:val="00D12DF5"/>
    <w:rsid w:val="00D134D7"/>
    <w:rsid w:val="00D1393E"/>
    <w:rsid w:val="00D13A9D"/>
    <w:rsid w:val="00D13D20"/>
    <w:rsid w:val="00D1419E"/>
    <w:rsid w:val="00D149FF"/>
    <w:rsid w:val="00D14B1A"/>
    <w:rsid w:val="00D15B39"/>
    <w:rsid w:val="00D164EC"/>
    <w:rsid w:val="00D1672C"/>
    <w:rsid w:val="00D16B75"/>
    <w:rsid w:val="00D16DF2"/>
    <w:rsid w:val="00D1705D"/>
    <w:rsid w:val="00D17289"/>
    <w:rsid w:val="00D174E8"/>
    <w:rsid w:val="00D17B0E"/>
    <w:rsid w:val="00D17DDE"/>
    <w:rsid w:val="00D17F14"/>
    <w:rsid w:val="00D17FF4"/>
    <w:rsid w:val="00D204EB"/>
    <w:rsid w:val="00D206D1"/>
    <w:rsid w:val="00D2076B"/>
    <w:rsid w:val="00D207BE"/>
    <w:rsid w:val="00D20FF1"/>
    <w:rsid w:val="00D21424"/>
    <w:rsid w:val="00D216C3"/>
    <w:rsid w:val="00D21A3D"/>
    <w:rsid w:val="00D2204F"/>
    <w:rsid w:val="00D22126"/>
    <w:rsid w:val="00D22135"/>
    <w:rsid w:val="00D2223A"/>
    <w:rsid w:val="00D22382"/>
    <w:rsid w:val="00D22A1B"/>
    <w:rsid w:val="00D2302C"/>
    <w:rsid w:val="00D23451"/>
    <w:rsid w:val="00D24024"/>
    <w:rsid w:val="00D2443B"/>
    <w:rsid w:val="00D252C7"/>
    <w:rsid w:val="00D25456"/>
    <w:rsid w:val="00D25A19"/>
    <w:rsid w:val="00D25F43"/>
    <w:rsid w:val="00D2649C"/>
    <w:rsid w:val="00D2695D"/>
    <w:rsid w:val="00D26A0A"/>
    <w:rsid w:val="00D27011"/>
    <w:rsid w:val="00D272F8"/>
    <w:rsid w:val="00D274C9"/>
    <w:rsid w:val="00D277CE"/>
    <w:rsid w:val="00D27A97"/>
    <w:rsid w:val="00D27EF2"/>
    <w:rsid w:val="00D3025B"/>
    <w:rsid w:val="00D302D0"/>
    <w:rsid w:val="00D30670"/>
    <w:rsid w:val="00D30DEF"/>
    <w:rsid w:val="00D30FDC"/>
    <w:rsid w:val="00D318D6"/>
    <w:rsid w:val="00D31B3D"/>
    <w:rsid w:val="00D3200B"/>
    <w:rsid w:val="00D320BE"/>
    <w:rsid w:val="00D321D5"/>
    <w:rsid w:val="00D32339"/>
    <w:rsid w:val="00D333E0"/>
    <w:rsid w:val="00D33A75"/>
    <w:rsid w:val="00D33D19"/>
    <w:rsid w:val="00D34004"/>
    <w:rsid w:val="00D34699"/>
    <w:rsid w:val="00D347D0"/>
    <w:rsid w:val="00D34A04"/>
    <w:rsid w:val="00D34A99"/>
    <w:rsid w:val="00D34E05"/>
    <w:rsid w:val="00D35578"/>
    <w:rsid w:val="00D35C4D"/>
    <w:rsid w:val="00D365F2"/>
    <w:rsid w:val="00D3678A"/>
    <w:rsid w:val="00D368EB"/>
    <w:rsid w:val="00D36D27"/>
    <w:rsid w:val="00D3747B"/>
    <w:rsid w:val="00D4038F"/>
    <w:rsid w:val="00D406FD"/>
    <w:rsid w:val="00D408E1"/>
    <w:rsid w:val="00D40CD3"/>
    <w:rsid w:val="00D4142D"/>
    <w:rsid w:val="00D414DE"/>
    <w:rsid w:val="00D41514"/>
    <w:rsid w:val="00D41531"/>
    <w:rsid w:val="00D41951"/>
    <w:rsid w:val="00D419FD"/>
    <w:rsid w:val="00D41C04"/>
    <w:rsid w:val="00D41FB1"/>
    <w:rsid w:val="00D420CB"/>
    <w:rsid w:val="00D42616"/>
    <w:rsid w:val="00D4283A"/>
    <w:rsid w:val="00D428B0"/>
    <w:rsid w:val="00D42C57"/>
    <w:rsid w:val="00D436F0"/>
    <w:rsid w:val="00D437E8"/>
    <w:rsid w:val="00D43B93"/>
    <w:rsid w:val="00D43C2E"/>
    <w:rsid w:val="00D43C9A"/>
    <w:rsid w:val="00D444E9"/>
    <w:rsid w:val="00D453BC"/>
    <w:rsid w:val="00D4580A"/>
    <w:rsid w:val="00D45BA0"/>
    <w:rsid w:val="00D45F3E"/>
    <w:rsid w:val="00D462EB"/>
    <w:rsid w:val="00D46AF2"/>
    <w:rsid w:val="00D46E4D"/>
    <w:rsid w:val="00D5013E"/>
    <w:rsid w:val="00D51AAC"/>
    <w:rsid w:val="00D51D84"/>
    <w:rsid w:val="00D52104"/>
    <w:rsid w:val="00D52284"/>
    <w:rsid w:val="00D527EC"/>
    <w:rsid w:val="00D531B8"/>
    <w:rsid w:val="00D53608"/>
    <w:rsid w:val="00D53939"/>
    <w:rsid w:val="00D54A25"/>
    <w:rsid w:val="00D54CFD"/>
    <w:rsid w:val="00D55113"/>
    <w:rsid w:val="00D55372"/>
    <w:rsid w:val="00D55546"/>
    <w:rsid w:val="00D5562E"/>
    <w:rsid w:val="00D55B25"/>
    <w:rsid w:val="00D55B61"/>
    <w:rsid w:val="00D55C7A"/>
    <w:rsid w:val="00D564CF"/>
    <w:rsid w:val="00D56777"/>
    <w:rsid w:val="00D56EF8"/>
    <w:rsid w:val="00D57399"/>
    <w:rsid w:val="00D57B07"/>
    <w:rsid w:val="00D57C02"/>
    <w:rsid w:val="00D602B4"/>
    <w:rsid w:val="00D6045A"/>
    <w:rsid w:val="00D60C9B"/>
    <w:rsid w:val="00D611CC"/>
    <w:rsid w:val="00D61A49"/>
    <w:rsid w:val="00D61F91"/>
    <w:rsid w:val="00D62001"/>
    <w:rsid w:val="00D620A8"/>
    <w:rsid w:val="00D621FB"/>
    <w:rsid w:val="00D622F1"/>
    <w:rsid w:val="00D627B4"/>
    <w:rsid w:val="00D62977"/>
    <w:rsid w:val="00D62D4E"/>
    <w:rsid w:val="00D62EE1"/>
    <w:rsid w:val="00D6310B"/>
    <w:rsid w:val="00D63AE7"/>
    <w:rsid w:val="00D63EA3"/>
    <w:rsid w:val="00D63F6C"/>
    <w:rsid w:val="00D64220"/>
    <w:rsid w:val="00D64897"/>
    <w:rsid w:val="00D64CC0"/>
    <w:rsid w:val="00D64D9E"/>
    <w:rsid w:val="00D66EDA"/>
    <w:rsid w:val="00D670A9"/>
    <w:rsid w:val="00D67559"/>
    <w:rsid w:val="00D67A03"/>
    <w:rsid w:val="00D67F30"/>
    <w:rsid w:val="00D70117"/>
    <w:rsid w:val="00D70348"/>
    <w:rsid w:val="00D7034A"/>
    <w:rsid w:val="00D703E8"/>
    <w:rsid w:val="00D704DD"/>
    <w:rsid w:val="00D7056E"/>
    <w:rsid w:val="00D70BCC"/>
    <w:rsid w:val="00D71357"/>
    <w:rsid w:val="00D713F2"/>
    <w:rsid w:val="00D716C0"/>
    <w:rsid w:val="00D71A61"/>
    <w:rsid w:val="00D71FCC"/>
    <w:rsid w:val="00D72BA5"/>
    <w:rsid w:val="00D7313E"/>
    <w:rsid w:val="00D73346"/>
    <w:rsid w:val="00D7344C"/>
    <w:rsid w:val="00D7369E"/>
    <w:rsid w:val="00D73DD4"/>
    <w:rsid w:val="00D73F8A"/>
    <w:rsid w:val="00D73F9F"/>
    <w:rsid w:val="00D74057"/>
    <w:rsid w:val="00D740B5"/>
    <w:rsid w:val="00D743CE"/>
    <w:rsid w:val="00D747EA"/>
    <w:rsid w:val="00D75001"/>
    <w:rsid w:val="00D75A52"/>
    <w:rsid w:val="00D75B27"/>
    <w:rsid w:val="00D76290"/>
    <w:rsid w:val="00D769FB"/>
    <w:rsid w:val="00D76A3B"/>
    <w:rsid w:val="00D77351"/>
    <w:rsid w:val="00D77426"/>
    <w:rsid w:val="00D775B8"/>
    <w:rsid w:val="00D77B0E"/>
    <w:rsid w:val="00D77BA7"/>
    <w:rsid w:val="00D8010F"/>
    <w:rsid w:val="00D80149"/>
    <w:rsid w:val="00D8028D"/>
    <w:rsid w:val="00D808F8"/>
    <w:rsid w:val="00D80A9A"/>
    <w:rsid w:val="00D80D85"/>
    <w:rsid w:val="00D81680"/>
    <w:rsid w:val="00D81ABD"/>
    <w:rsid w:val="00D81B9E"/>
    <w:rsid w:val="00D820A5"/>
    <w:rsid w:val="00D820E0"/>
    <w:rsid w:val="00D82A21"/>
    <w:rsid w:val="00D82E5D"/>
    <w:rsid w:val="00D82ED1"/>
    <w:rsid w:val="00D83242"/>
    <w:rsid w:val="00D8382B"/>
    <w:rsid w:val="00D83932"/>
    <w:rsid w:val="00D83992"/>
    <w:rsid w:val="00D83DEE"/>
    <w:rsid w:val="00D83EEC"/>
    <w:rsid w:val="00D83F50"/>
    <w:rsid w:val="00D846DC"/>
    <w:rsid w:val="00D849D2"/>
    <w:rsid w:val="00D84C00"/>
    <w:rsid w:val="00D8540D"/>
    <w:rsid w:val="00D857A4"/>
    <w:rsid w:val="00D859B2"/>
    <w:rsid w:val="00D85CF6"/>
    <w:rsid w:val="00D86084"/>
    <w:rsid w:val="00D867B9"/>
    <w:rsid w:val="00D86A80"/>
    <w:rsid w:val="00D86C6E"/>
    <w:rsid w:val="00D8734A"/>
    <w:rsid w:val="00D87385"/>
    <w:rsid w:val="00D87B7E"/>
    <w:rsid w:val="00D9103B"/>
    <w:rsid w:val="00D9104F"/>
    <w:rsid w:val="00D91845"/>
    <w:rsid w:val="00D91960"/>
    <w:rsid w:val="00D9293E"/>
    <w:rsid w:val="00D93585"/>
    <w:rsid w:val="00D93656"/>
    <w:rsid w:val="00D93A71"/>
    <w:rsid w:val="00D93ACF"/>
    <w:rsid w:val="00D94136"/>
    <w:rsid w:val="00D9453B"/>
    <w:rsid w:val="00D9492C"/>
    <w:rsid w:val="00D9554B"/>
    <w:rsid w:val="00D95569"/>
    <w:rsid w:val="00D95839"/>
    <w:rsid w:val="00D95894"/>
    <w:rsid w:val="00D95D44"/>
    <w:rsid w:val="00D967CA"/>
    <w:rsid w:val="00D96A19"/>
    <w:rsid w:val="00D96FA9"/>
    <w:rsid w:val="00D97501"/>
    <w:rsid w:val="00D97FD2"/>
    <w:rsid w:val="00DA06CB"/>
    <w:rsid w:val="00DA0794"/>
    <w:rsid w:val="00DA1CB0"/>
    <w:rsid w:val="00DA3609"/>
    <w:rsid w:val="00DA557A"/>
    <w:rsid w:val="00DA6079"/>
    <w:rsid w:val="00DA6300"/>
    <w:rsid w:val="00DA65DA"/>
    <w:rsid w:val="00DA66B0"/>
    <w:rsid w:val="00DA7B35"/>
    <w:rsid w:val="00DA7ED2"/>
    <w:rsid w:val="00DB0590"/>
    <w:rsid w:val="00DB05F9"/>
    <w:rsid w:val="00DB1717"/>
    <w:rsid w:val="00DB2446"/>
    <w:rsid w:val="00DB2FE3"/>
    <w:rsid w:val="00DB36E2"/>
    <w:rsid w:val="00DB4488"/>
    <w:rsid w:val="00DB493A"/>
    <w:rsid w:val="00DB4A3B"/>
    <w:rsid w:val="00DB4F50"/>
    <w:rsid w:val="00DB54E3"/>
    <w:rsid w:val="00DB55F1"/>
    <w:rsid w:val="00DB56DC"/>
    <w:rsid w:val="00DB5D59"/>
    <w:rsid w:val="00DB62B9"/>
    <w:rsid w:val="00DB6E35"/>
    <w:rsid w:val="00DB71D9"/>
    <w:rsid w:val="00DB7833"/>
    <w:rsid w:val="00DB7B29"/>
    <w:rsid w:val="00DB7B2D"/>
    <w:rsid w:val="00DB7BE1"/>
    <w:rsid w:val="00DB7C0E"/>
    <w:rsid w:val="00DB7E48"/>
    <w:rsid w:val="00DB7F14"/>
    <w:rsid w:val="00DC03EA"/>
    <w:rsid w:val="00DC04EA"/>
    <w:rsid w:val="00DC0589"/>
    <w:rsid w:val="00DC1421"/>
    <w:rsid w:val="00DC20BF"/>
    <w:rsid w:val="00DC25B7"/>
    <w:rsid w:val="00DC329B"/>
    <w:rsid w:val="00DC32C3"/>
    <w:rsid w:val="00DC33D0"/>
    <w:rsid w:val="00DC36FA"/>
    <w:rsid w:val="00DC39C3"/>
    <w:rsid w:val="00DC3D27"/>
    <w:rsid w:val="00DC426B"/>
    <w:rsid w:val="00DC4E35"/>
    <w:rsid w:val="00DC5568"/>
    <w:rsid w:val="00DC5D55"/>
    <w:rsid w:val="00DC5F9C"/>
    <w:rsid w:val="00DC62A8"/>
    <w:rsid w:val="00DC64B8"/>
    <w:rsid w:val="00DC6B66"/>
    <w:rsid w:val="00DC733F"/>
    <w:rsid w:val="00DC73A6"/>
    <w:rsid w:val="00DC7971"/>
    <w:rsid w:val="00DD0184"/>
    <w:rsid w:val="00DD03FB"/>
    <w:rsid w:val="00DD074F"/>
    <w:rsid w:val="00DD0D60"/>
    <w:rsid w:val="00DD18E2"/>
    <w:rsid w:val="00DD19E8"/>
    <w:rsid w:val="00DD1B1A"/>
    <w:rsid w:val="00DD1F7B"/>
    <w:rsid w:val="00DD2662"/>
    <w:rsid w:val="00DD2B7A"/>
    <w:rsid w:val="00DD3278"/>
    <w:rsid w:val="00DD3728"/>
    <w:rsid w:val="00DD38CD"/>
    <w:rsid w:val="00DD38DC"/>
    <w:rsid w:val="00DD3DA4"/>
    <w:rsid w:val="00DD437E"/>
    <w:rsid w:val="00DD4EE7"/>
    <w:rsid w:val="00DD5159"/>
    <w:rsid w:val="00DD5176"/>
    <w:rsid w:val="00DD554B"/>
    <w:rsid w:val="00DD61FE"/>
    <w:rsid w:val="00DD62A7"/>
    <w:rsid w:val="00DD6B0B"/>
    <w:rsid w:val="00DD6B36"/>
    <w:rsid w:val="00DD6E93"/>
    <w:rsid w:val="00DD7A14"/>
    <w:rsid w:val="00DE0629"/>
    <w:rsid w:val="00DE078A"/>
    <w:rsid w:val="00DE08F2"/>
    <w:rsid w:val="00DE0A54"/>
    <w:rsid w:val="00DE1090"/>
    <w:rsid w:val="00DE1288"/>
    <w:rsid w:val="00DE26E1"/>
    <w:rsid w:val="00DE2837"/>
    <w:rsid w:val="00DE2BBB"/>
    <w:rsid w:val="00DE2FF2"/>
    <w:rsid w:val="00DE32D0"/>
    <w:rsid w:val="00DE3313"/>
    <w:rsid w:val="00DE35EC"/>
    <w:rsid w:val="00DE37F1"/>
    <w:rsid w:val="00DE3CB0"/>
    <w:rsid w:val="00DE3FC5"/>
    <w:rsid w:val="00DE49D4"/>
    <w:rsid w:val="00DE4A29"/>
    <w:rsid w:val="00DE4BA1"/>
    <w:rsid w:val="00DE4EB2"/>
    <w:rsid w:val="00DE4F26"/>
    <w:rsid w:val="00DE5BB8"/>
    <w:rsid w:val="00DE60B6"/>
    <w:rsid w:val="00DE62A2"/>
    <w:rsid w:val="00DE6791"/>
    <w:rsid w:val="00DE6D48"/>
    <w:rsid w:val="00DE71D5"/>
    <w:rsid w:val="00DE7468"/>
    <w:rsid w:val="00DE75DE"/>
    <w:rsid w:val="00DE77F0"/>
    <w:rsid w:val="00DF008D"/>
    <w:rsid w:val="00DF029D"/>
    <w:rsid w:val="00DF02A8"/>
    <w:rsid w:val="00DF215B"/>
    <w:rsid w:val="00DF2321"/>
    <w:rsid w:val="00DF242E"/>
    <w:rsid w:val="00DF2819"/>
    <w:rsid w:val="00DF3051"/>
    <w:rsid w:val="00DF33BC"/>
    <w:rsid w:val="00DF33EB"/>
    <w:rsid w:val="00DF3576"/>
    <w:rsid w:val="00DF3BB4"/>
    <w:rsid w:val="00DF3C41"/>
    <w:rsid w:val="00DF431F"/>
    <w:rsid w:val="00DF4A3E"/>
    <w:rsid w:val="00DF528B"/>
    <w:rsid w:val="00DF581A"/>
    <w:rsid w:val="00DF5E64"/>
    <w:rsid w:val="00DF61ED"/>
    <w:rsid w:val="00DF6485"/>
    <w:rsid w:val="00DF6AFA"/>
    <w:rsid w:val="00DF6FE2"/>
    <w:rsid w:val="00DF7609"/>
    <w:rsid w:val="00DF763B"/>
    <w:rsid w:val="00DF7850"/>
    <w:rsid w:val="00DF7878"/>
    <w:rsid w:val="00DF787B"/>
    <w:rsid w:val="00DF7880"/>
    <w:rsid w:val="00DF7A4D"/>
    <w:rsid w:val="00DF7A8F"/>
    <w:rsid w:val="00DF7C9E"/>
    <w:rsid w:val="00DF7CCB"/>
    <w:rsid w:val="00DF7E47"/>
    <w:rsid w:val="00E00230"/>
    <w:rsid w:val="00E0051A"/>
    <w:rsid w:val="00E00568"/>
    <w:rsid w:val="00E010F8"/>
    <w:rsid w:val="00E02063"/>
    <w:rsid w:val="00E02C2F"/>
    <w:rsid w:val="00E02D42"/>
    <w:rsid w:val="00E035AD"/>
    <w:rsid w:val="00E03B94"/>
    <w:rsid w:val="00E03F88"/>
    <w:rsid w:val="00E04824"/>
    <w:rsid w:val="00E06446"/>
    <w:rsid w:val="00E06848"/>
    <w:rsid w:val="00E06AF6"/>
    <w:rsid w:val="00E075C8"/>
    <w:rsid w:val="00E10BAD"/>
    <w:rsid w:val="00E10C37"/>
    <w:rsid w:val="00E11B0C"/>
    <w:rsid w:val="00E12071"/>
    <w:rsid w:val="00E126BE"/>
    <w:rsid w:val="00E129F8"/>
    <w:rsid w:val="00E12B03"/>
    <w:rsid w:val="00E12CC2"/>
    <w:rsid w:val="00E12EA5"/>
    <w:rsid w:val="00E133D3"/>
    <w:rsid w:val="00E13779"/>
    <w:rsid w:val="00E13D17"/>
    <w:rsid w:val="00E141DF"/>
    <w:rsid w:val="00E1465F"/>
    <w:rsid w:val="00E148EF"/>
    <w:rsid w:val="00E14A15"/>
    <w:rsid w:val="00E14AE5"/>
    <w:rsid w:val="00E1515B"/>
    <w:rsid w:val="00E1523E"/>
    <w:rsid w:val="00E154E3"/>
    <w:rsid w:val="00E1590F"/>
    <w:rsid w:val="00E15C51"/>
    <w:rsid w:val="00E16043"/>
    <w:rsid w:val="00E16147"/>
    <w:rsid w:val="00E16160"/>
    <w:rsid w:val="00E16368"/>
    <w:rsid w:val="00E16DBA"/>
    <w:rsid w:val="00E172A7"/>
    <w:rsid w:val="00E1779F"/>
    <w:rsid w:val="00E1794D"/>
    <w:rsid w:val="00E202E0"/>
    <w:rsid w:val="00E20818"/>
    <w:rsid w:val="00E20E4F"/>
    <w:rsid w:val="00E20EDA"/>
    <w:rsid w:val="00E20FFA"/>
    <w:rsid w:val="00E21885"/>
    <w:rsid w:val="00E21B02"/>
    <w:rsid w:val="00E21FE6"/>
    <w:rsid w:val="00E221EC"/>
    <w:rsid w:val="00E22928"/>
    <w:rsid w:val="00E22DF4"/>
    <w:rsid w:val="00E22E2C"/>
    <w:rsid w:val="00E230FF"/>
    <w:rsid w:val="00E23691"/>
    <w:rsid w:val="00E23FDC"/>
    <w:rsid w:val="00E24113"/>
    <w:rsid w:val="00E2424D"/>
    <w:rsid w:val="00E24F6B"/>
    <w:rsid w:val="00E2597D"/>
    <w:rsid w:val="00E26A14"/>
    <w:rsid w:val="00E271F8"/>
    <w:rsid w:val="00E27254"/>
    <w:rsid w:val="00E27589"/>
    <w:rsid w:val="00E275CD"/>
    <w:rsid w:val="00E278D3"/>
    <w:rsid w:val="00E30C9F"/>
    <w:rsid w:val="00E31193"/>
    <w:rsid w:val="00E31197"/>
    <w:rsid w:val="00E3147F"/>
    <w:rsid w:val="00E315F1"/>
    <w:rsid w:val="00E319B8"/>
    <w:rsid w:val="00E31F86"/>
    <w:rsid w:val="00E3240E"/>
    <w:rsid w:val="00E333EE"/>
    <w:rsid w:val="00E3386F"/>
    <w:rsid w:val="00E34721"/>
    <w:rsid w:val="00E3475F"/>
    <w:rsid w:val="00E35098"/>
    <w:rsid w:val="00E352D4"/>
    <w:rsid w:val="00E356D1"/>
    <w:rsid w:val="00E3579B"/>
    <w:rsid w:val="00E35A09"/>
    <w:rsid w:val="00E35E6C"/>
    <w:rsid w:val="00E360FC"/>
    <w:rsid w:val="00E3610F"/>
    <w:rsid w:val="00E363EB"/>
    <w:rsid w:val="00E3692F"/>
    <w:rsid w:val="00E36B9A"/>
    <w:rsid w:val="00E36EE6"/>
    <w:rsid w:val="00E37061"/>
    <w:rsid w:val="00E379CE"/>
    <w:rsid w:val="00E40CB4"/>
    <w:rsid w:val="00E413F5"/>
    <w:rsid w:val="00E41AA9"/>
    <w:rsid w:val="00E41E94"/>
    <w:rsid w:val="00E42011"/>
    <w:rsid w:val="00E4241C"/>
    <w:rsid w:val="00E42637"/>
    <w:rsid w:val="00E42650"/>
    <w:rsid w:val="00E42866"/>
    <w:rsid w:val="00E42DF3"/>
    <w:rsid w:val="00E430F9"/>
    <w:rsid w:val="00E43D7E"/>
    <w:rsid w:val="00E43DAC"/>
    <w:rsid w:val="00E43EB7"/>
    <w:rsid w:val="00E44172"/>
    <w:rsid w:val="00E441A1"/>
    <w:rsid w:val="00E44403"/>
    <w:rsid w:val="00E44719"/>
    <w:rsid w:val="00E4480E"/>
    <w:rsid w:val="00E44905"/>
    <w:rsid w:val="00E45315"/>
    <w:rsid w:val="00E4550C"/>
    <w:rsid w:val="00E45BDC"/>
    <w:rsid w:val="00E46065"/>
    <w:rsid w:val="00E46BCE"/>
    <w:rsid w:val="00E46CC6"/>
    <w:rsid w:val="00E4788B"/>
    <w:rsid w:val="00E47B97"/>
    <w:rsid w:val="00E51337"/>
    <w:rsid w:val="00E51A2E"/>
    <w:rsid w:val="00E51E85"/>
    <w:rsid w:val="00E524C2"/>
    <w:rsid w:val="00E52DD6"/>
    <w:rsid w:val="00E5394F"/>
    <w:rsid w:val="00E53A6F"/>
    <w:rsid w:val="00E53AA7"/>
    <w:rsid w:val="00E53DDB"/>
    <w:rsid w:val="00E53F88"/>
    <w:rsid w:val="00E542EB"/>
    <w:rsid w:val="00E54631"/>
    <w:rsid w:val="00E5464D"/>
    <w:rsid w:val="00E54684"/>
    <w:rsid w:val="00E54A33"/>
    <w:rsid w:val="00E55357"/>
    <w:rsid w:val="00E55668"/>
    <w:rsid w:val="00E55900"/>
    <w:rsid w:val="00E55CCE"/>
    <w:rsid w:val="00E562A7"/>
    <w:rsid w:val="00E56574"/>
    <w:rsid w:val="00E56BE0"/>
    <w:rsid w:val="00E56CCD"/>
    <w:rsid w:val="00E56F6D"/>
    <w:rsid w:val="00E5781B"/>
    <w:rsid w:val="00E600D2"/>
    <w:rsid w:val="00E610CB"/>
    <w:rsid w:val="00E61533"/>
    <w:rsid w:val="00E6240D"/>
    <w:rsid w:val="00E63430"/>
    <w:rsid w:val="00E63A69"/>
    <w:rsid w:val="00E63B96"/>
    <w:rsid w:val="00E63BF7"/>
    <w:rsid w:val="00E64096"/>
    <w:rsid w:val="00E64125"/>
    <w:rsid w:val="00E641FC"/>
    <w:rsid w:val="00E644BE"/>
    <w:rsid w:val="00E64563"/>
    <w:rsid w:val="00E64DD5"/>
    <w:rsid w:val="00E64EDB"/>
    <w:rsid w:val="00E64F4C"/>
    <w:rsid w:val="00E6534D"/>
    <w:rsid w:val="00E657C1"/>
    <w:rsid w:val="00E6660C"/>
    <w:rsid w:val="00E66A64"/>
    <w:rsid w:val="00E66B46"/>
    <w:rsid w:val="00E66EE0"/>
    <w:rsid w:val="00E66FCC"/>
    <w:rsid w:val="00E674C2"/>
    <w:rsid w:val="00E676FF"/>
    <w:rsid w:val="00E67B46"/>
    <w:rsid w:val="00E67CB5"/>
    <w:rsid w:val="00E67EA2"/>
    <w:rsid w:val="00E67EDD"/>
    <w:rsid w:val="00E701F2"/>
    <w:rsid w:val="00E7070D"/>
    <w:rsid w:val="00E70D84"/>
    <w:rsid w:val="00E71228"/>
    <w:rsid w:val="00E7135D"/>
    <w:rsid w:val="00E71A93"/>
    <w:rsid w:val="00E71D69"/>
    <w:rsid w:val="00E7255A"/>
    <w:rsid w:val="00E7271E"/>
    <w:rsid w:val="00E72860"/>
    <w:rsid w:val="00E7312C"/>
    <w:rsid w:val="00E7338B"/>
    <w:rsid w:val="00E7355E"/>
    <w:rsid w:val="00E73902"/>
    <w:rsid w:val="00E741D0"/>
    <w:rsid w:val="00E74FB2"/>
    <w:rsid w:val="00E753A2"/>
    <w:rsid w:val="00E75994"/>
    <w:rsid w:val="00E75AE0"/>
    <w:rsid w:val="00E76097"/>
    <w:rsid w:val="00E765C6"/>
    <w:rsid w:val="00E765E9"/>
    <w:rsid w:val="00E76690"/>
    <w:rsid w:val="00E7686B"/>
    <w:rsid w:val="00E76C37"/>
    <w:rsid w:val="00E76DD6"/>
    <w:rsid w:val="00E76FA1"/>
    <w:rsid w:val="00E773CD"/>
    <w:rsid w:val="00E8088F"/>
    <w:rsid w:val="00E80C7D"/>
    <w:rsid w:val="00E81138"/>
    <w:rsid w:val="00E81794"/>
    <w:rsid w:val="00E81A40"/>
    <w:rsid w:val="00E821C2"/>
    <w:rsid w:val="00E82677"/>
    <w:rsid w:val="00E82A41"/>
    <w:rsid w:val="00E8312C"/>
    <w:rsid w:val="00E83495"/>
    <w:rsid w:val="00E839A6"/>
    <w:rsid w:val="00E83AD0"/>
    <w:rsid w:val="00E843A0"/>
    <w:rsid w:val="00E857C6"/>
    <w:rsid w:val="00E85E7E"/>
    <w:rsid w:val="00E8606A"/>
    <w:rsid w:val="00E861C0"/>
    <w:rsid w:val="00E86CDD"/>
    <w:rsid w:val="00E86E99"/>
    <w:rsid w:val="00E878B1"/>
    <w:rsid w:val="00E87A48"/>
    <w:rsid w:val="00E87BA3"/>
    <w:rsid w:val="00E87C93"/>
    <w:rsid w:val="00E87D7E"/>
    <w:rsid w:val="00E901C8"/>
    <w:rsid w:val="00E910F9"/>
    <w:rsid w:val="00E918AB"/>
    <w:rsid w:val="00E91D87"/>
    <w:rsid w:val="00E91EE2"/>
    <w:rsid w:val="00E91F65"/>
    <w:rsid w:val="00E92E50"/>
    <w:rsid w:val="00E92F07"/>
    <w:rsid w:val="00E9316A"/>
    <w:rsid w:val="00E9319E"/>
    <w:rsid w:val="00E9330F"/>
    <w:rsid w:val="00E93ADA"/>
    <w:rsid w:val="00E93FC0"/>
    <w:rsid w:val="00E93FF5"/>
    <w:rsid w:val="00E9456E"/>
    <w:rsid w:val="00E955B1"/>
    <w:rsid w:val="00E95E9A"/>
    <w:rsid w:val="00E961BB"/>
    <w:rsid w:val="00E964B5"/>
    <w:rsid w:val="00E967A3"/>
    <w:rsid w:val="00E97445"/>
    <w:rsid w:val="00E97648"/>
    <w:rsid w:val="00E97AD1"/>
    <w:rsid w:val="00E97C18"/>
    <w:rsid w:val="00EA01F7"/>
    <w:rsid w:val="00EA0350"/>
    <w:rsid w:val="00EA0379"/>
    <w:rsid w:val="00EA0DB3"/>
    <w:rsid w:val="00EA15F7"/>
    <w:rsid w:val="00EA168A"/>
    <w:rsid w:val="00EA1D0F"/>
    <w:rsid w:val="00EA218E"/>
    <w:rsid w:val="00EA24CE"/>
    <w:rsid w:val="00EA2533"/>
    <w:rsid w:val="00EA25DE"/>
    <w:rsid w:val="00EA2903"/>
    <w:rsid w:val="00EA2C70"/>
    <w:rsid w:val="00EA3149"/>
    <w:rsid w:val="00EA33DD"/>
    <w:rsid w:val="00EA380D"/>
    <w:rsid w:val="00EA383A"/>
    <w:rsid w:val="00EA3AB4"/>
    <w:rsid w:val="00EA3AEB"/>
    <w:rsid w:val="00EA3F1E"/>
    <w:rsid w:val="00EA428B"/>
    <w:rsid w:val="00EA4C63"/>
    <w:rsid w:val="00EA5226"/>
    <w:rsid w:val="00EA54A5"/>
    <w:rsid w:val="00EA5C2A"/>
    <w:rsid w:val="00EA5E2A"/>
    <w:rsid w:val="00EA5E72"/>
    <w:rsid w:val="00EA6026"/>
    <w:rsid w:val="00EA613F"/>
    <w:rsid w:val="00EA67FD"/>
    <w:rsid w:val="00EA6CB5"/>
    <w:rsid w:val="00EA6F69"/>
    <w:rsid w:val="00EA7798"/>
    <w:rsid w:val="00EA7A48"/>
    <w:rsid w:val="00EA7BA5"/>
    <w:rsid w:val="00EB0789"/>
    <w:rsid w:val="00EB07E4"/>
    <w:rsid w:val="00EB090D"/>
    <w:rsid w:val="00EB09FB"/>
    <w:rsid w:val="00EB0A20"/>
    <w:rsid w:val="00EB0B1C"/>
    <w:rsid w:val="00EB0BD3"/>
    <w:rsid w:val="00EB2002"/>
    <w:rsid w:val="00EB2B8A"/>
    <w:rsid w:val="00EB2DCB"/>
    <w:rsid w:val="00EB3017"/>
    <w:rsid w:val="00EB3041"/>
    <w:rsid w:val="00EB3DC5"/>
    <w:rsid w:val="00EB443E"/>
    <w:rsid w:val="00EB4B0A"/>
    <w:rsid w:val="00EB505C"/>
    <w:rsid w:val="00EB52C6"/>
    <w:rsid w:val="00EB5649"/>
    <w:rsid w:val="00EB579D"/>
    <w:rsid w:val="00EB5898"/>
    <w:rsid w:val="00EB5C25"/>
    <w:rsid w:val="00EB5E3F"/>
    <w:rsid w:val="00EB633C"/>
    <w:rsid w:val="00EB6511"/>
    <w:rsid w:val="00EB6CAE"/>
    <w:rsid w:val="00EB7445"/>
    <w:rsid w:val="00EB75BB"/>
    <w:rsid w:val="00EB762C"/>
    <w:rsid w:val="00EB7914"/>
    <w:rsid w:val="00EB7EDA"/>
    <w:rsid w:val="00EC0083"/>
    <w:rsid w:val="00EC035B"/>
    <w:rsid w:val="00EC0B8D"/>
    <w:rsid w:val="00EC13CB"/>
    <w:rsid w:val="00EC14BE"/>
    <w:rsid w:val="00EC1AFE"/>
    <w:rsid w:val="00EC20BB"/>
    <w:rsid w:val="00EC35E7"/>
    <w:rsid w:val="00EC3C22"/>
    <w:rsid w:val="00EC4119"/>
    <w:rsid w:val="00EC42F3"/>
    <w:rsid w:val="00EC4F4B"/>
    <w:rsid w:val="00EC5617"/>
    <w:rsid w:val="00EC60D6"/>
    <w:rsid w:val="00EC6C28"/>
    <w:rsid w:val="00EC7055"/>
    <w:rsid w:val="00EC71D8"/>
    <w:rsid w:val="00EC75D4"/>
    <w:rsid w:val="00EC7F35"/>
    <w:rsid w:val="00ED0465"/>
    <w:rsid w:val="00ED0B11"/>
    <w:rsid w:val="00ED16D8"/>
    <w:rsid w:val="00ED1A6E"/>
    <w:rsid w:val="00ED1B2E"/>
    <w:rsid w:val="00ED1C01"/>
    <w:rsid w:val="00ED1E60"/>
    <w:rsid w:val="00ED229B"/>
    <w:rsid w:val="00ED2AD6"/>
    <w:rsid w:val="00ED4319"/>
    <w:rsid w:val="00ED545F"/>
    <w:rsid w:val="00ED5EB3"/>
    <w:rsid w:val="00ED6334"/>
    <w:rsid w:val="00ED63C6"/>
    <w:rsid w:val="00ED68DC"/>
    <w:rsid w:val="00ED6D52"/>
    <w:rsid w:val="00ED73E7"/>
    <w:rsid w:val="00ED79E2"/>
    <w:rsid w:val="00ED7FA4"/>
    <w:rsid w:val="00EE0831"/>
    <w:rsid w:val="00EE0C22"/>
    <w:rsid w:val="00EE0C49"/>
    <w:rsid w:val="00EE1662"/>
    <w:rsid w:val="00EE186F"/>
    <w:rsid w:val="00EE22C6"/>
    <w:rsid w:val="00EE22E8"/>
    <w:rsid w:val="00EE246F"/>
    <w:rsid w:val="00EE28A3"/>
    <w:rsid w:val="00EE2A48"/>
    <w:rsid w:val="00EE2EBF"/>
    <w:rsid w:val="00EE3632"/>
    <w:rsid w:val="00EE3658"/>
    <w:rsid w:val="00EE3FCA"/>
    <w:rsid w:val="00EE4393"/>
    <w:rsid w:val="00EE54D9"/>
    <w:rsid w:val="00EE55FC"/>
    <w:rsid w:val="00EE5DAF"/>
    <w:rsid w:val="00EE6148"/>
    <w:rsid w:val="00EE69D0"/>
    <w:rsid w:val="00EE6A55"/>
    <w:rsid w:val="00EE6AB1"/>
    <w:rsid w:val="00EE6E25"/>
    <w:rsid w:val="00EE7B4F"/>
    <w:rsid w:val="00EE7C66"/>
    <w:rsid w:val="00EF1240"/>
    <w:rsid w:val="00EF1479"/>
    <w:rsid w:val="00EF15CB"/>
    <w:rsid w:val="00EF1C7C"/>
    <w:rsid w:val="00EF22D6"/>
    <w:rsid w:val="00EF238B"/>
    <w:rsid w:val="00EF27F5"/>
    <w:rsid w:val="00EF28A1"/>
    <w:rsid w:val="00EF2AA5"/>
    <w:rsid w:val="00EF3664"/>
    <w:rsid w:val="00EF3F3B"/>
    <w:rsid w:val="00EF3FF7"/>
    <w:rsid w:val="00EF43B7"/>
    <w:rsid w:val="00EF4401"/>
    <w:rsid w:val="00EF48A0"/>
    <w:rsid w:val="00EF5530"/>
    <w:rsid w:val="00EF567B"/>
    <w:rsid w:val="00EF591D"/>
    <w:rsid w:val="00EF5FFF"/>
    <w:rsid w:val="00EF65E6"/>
    <w:rsid w:val="00EF6839"/>
    <w:rsid w:val="00EF683C"/>
    <w:rsid w:val="00EF7684"/>
    <w:rsid w:val="00EF7698"/>
    <w:rsid w:val="00EF7BEF"/>
    <w:rsid w:val="00F0025E"/>
    <w:rsid w:val="00F00719"/>
    <w:rsid w:val="00F00E96"/>
    <w:rsid w:val="00F01162"/>
    <w:rsid w:val="00F01285"/>
    <w:rsid w:val="00F01744"/>
    <w:rsid w:val="00F01F58"/>
    <w:rsid w:val="00F021B9"/>
    <w:rsid w:val="00F0266B"/>
    <w:rsid w:val="00F02A91"/>
    <w:rsid w:val="00F02E7B"/>
    <w:rsid w:val="00F034B1"/>
    <w:rsid w:val="00F034F1"/>
    <w:rsid w:val="00F03504"/>
    <w:rsid w:val="00F0488C"/>
    <w:rsid w:val="00F04A5C"/>
    <w:rsid w:val="00F05481"/>
    <w:rsid w:val="00F05894"/>
    <w:rsid w:val="00F06390"/>
    <w:rsid w:val="00F06845"/>
    <w:rsid w:val="00F1003F"/>
    <w:rsid w:val="00F10346"/>
    <w:rsid w:val="00F10B15"/>
    <w:rsid w:val="00F11BBA"/>
    <w:rsid w:val="00F12257"/>
    <w:rsid w:val="00F12446"/>
    <w:rsid w:val="00F125CF"/>
    <w:rsid w:val="00F12DFB"/>
    <w:rsid w:val="00F12ED1"/>
    <w:rsid w:val="00F12FE6"/>
    <w:rsid w:val="00F13394"/>
    <w:rsid w:val="00F137A1"/>
    <w:rsid w:val="00F137F8"/>
    <w:rsid w:val="00F13D71"/>
    <w:rsid w:val="00F13E2A"/>
    <w:rsid w:val="00F142BC"/>
    <w:rsid w:val="00F14AF5"/>
    <w:rsid w:val="00F14D28"/>
    <w:rsid w:val="00F14E8F"/>
    <w:rsid w:val="00F14FA4"/>
    <w:rsid w:val="00F154B8"/>
    <w:rsid w:val="00F154DC"/>
    <w:rsid w:val="00F15638"/>
    <w:rsid w:val="00F15E79"/>
    <w:rsid w:val="00F160B9"/>
    <w:rsid w:val="00F1646E"/>
    <w:rsid w:val="00F165DA"/>
    <w:rsid w:val="00F1711F"/>
    <w:rsid w:val="00F174A4"/>
    <w:rsid w:val="00F1762D"/>
    <w:rsid w:val="00F17C48"/>
    <w:rsid w:val="00F17E3D"/>
    <w:rsid w:val="00F17E3F"/>
    <w:rsid w:val="00F17E95"/>
    <w:rsid w:val="00F17EEE"/>
    <w:rsid w:val="00F2040D"/>
    <w:rsid w:val="00F2101C"/>
    <w:rsid w:val="00F2196F"/>
    <w:rsid w:val="00F21E48"/>
    <w:rsid w:val="00F2210F"/>
    <w:rsid w:val="00F222E7"/>
    <w:rsid w:val="00F223CE"/>
    <w:rsid w:val="00F22D34"/>
    <w:rsid w:val="00F233A9"/>
    <w:rsid w:val="00F24BD5"/>
    <w:rsid w:val="00F24E0E"/>
    <w:rsid w:val="00F252FF"/>
    <w:rsid w:val="00F25B22"/>
    <w:rsid w:val="00F26439"/>
    <w:rsid w:val="00F26502"/>
    <w:rsid w:val="00F266D8"/>
    <w:rsid w:val="00F26750"/>
    <w:rsid w:val="00F2677A"/>
    <w:rsid w:val="00F27224"/>
    <w:rsid w:val="00F27458"/>
    <w:rsid w:val="00F3069B"/>
    <w:rsid w:val="00F3091B"/>
    <w:rsid w:val="00F314AD"/>
    <w:rsid w:val="00F315D5"/>
    <w:rsid w:val="00F31832"/>
    <w:rsid w:val="00F3235D"/>
    <w:rsid w:val="00F32AB2"/>
    <w:rsid w:val="00F3309A"/>
    <w:rsid w:val="00F33779"/>
    <w:rsid w:val="00F339B3"/>
    <w:rsid w:val="00F33D9B"/>
    <w:rsid w:val="00F33FCC"/>
    <w:rsid w:val="00F34D19"/>
    <w:rsid w:val="00F34E5F"/>
    <w:rsid w:val="00F352B8"/>
    <w:rsid w:val="00F35A83"/>
    <w:rsid w:val="00F35F73"/>
    <w:rsid w:val="00F35F91"/>
    <w:rsid w:val="00F362DE"/>
    <w:rsid w:val="00F365AC"/>
    <w:rsid w:val="00F377F9"/>
    <w:rsid w:val="00F37979"/>
    <w:rsid w:val="00F37EA1"/>
    <w:rsid w:val="00F37F57"/>
    <w:rsid w:val="00F40146"/>
    <w:rsid w:val="00F40430"/>
    <w:rsid w:val="00F405B9"/>
    <w:rsid w:val="00F4092C"/>
    <w:rsid w:val="00F40EE7"/>
    <w:rsid w:val="00F41312"/>
    <w:rsid w:val="00F41394"/>
    <w:rsid w:val="00F417AF"/>
    <w:rsid w:val="00F418E9"/>
    <w:rsid w:val="00F41F6D"/>
    <w:rsid w:val="00F420BE"/>
    <w:rsid w:val="00F42822"/>
    <w:rsid w:val="00F42D4E"/>
    <w:rsid w:val="00F4307D"/>
    <w:rsid w:val="00F431E0"/>
    <w:rsid w:val="00F439F9"/>
    <w:rsid w:val="00F44464"/>
    <w:rsid w:val="00F4496D"/>
    <w:rsid w:val="00F44A60"/>
    <w:rsid w:val="00F45CA2"/>
    <w:rsid w:val="00F46797"/>
    <w:rsid w:val="00F46BB7"/>
    <w:rsid w:val="00F46E6D"/>
    <w:rsid w:val="00F4797D"/>
    <w:rsid w:val="00F501DD"/>
    <w:rsid w:val="00F50B34"/>
    <w:rsid w:val="00F50FB7"/>
    <w:rsid w:val="00F512DA"/>
    <w:rsid w:val="00F514B7"/>
    <w:rsid w:val="00F51994"/>
    <w:rsid w:val="00F51C00"/>
    <w:rsid w:val="00F51D37"/>
    <w:rsid w:val="00F520C0"/>
    <w:rsid w:val="00F52FFF"/>
    <w:rsid w:val="00F534A2"/>
    <w:rsid w:val="00F53521"/>
    <w:rsid w:val="00F538F0"/>
    <w:rsid w:val="00F53A75"/>
    <w:rsid w:val="00F53D55"/>
    <w:rsid w:val="00F54147"/>
    <w:rsid w:val="00F5515C"/>
    <w:rsid w:val="00F554BE"/>
    <w:rsid w:val="00F555F6"/>
    <w:rsid w:val="00F5615D"/>
    <w:rsid w:val="00F56166"/>
    <w:rsid w:val="00F56431"/>
    <w:rsid w:val="00F5765D"/>
    <w:rsid w:val="00F579F0"/>
    <w:rsid w:val="00F57A5E"/>
    <w:rsid w:val="00F60098"/>
    <w:rsid w:val="00F60790"/>
    <w:rsid w:val="00F609E2"/>
    <w:rsid w:val="00F60F7F"/>
    <w:rsid w:val="00F610C0"/>
    <w:rsid w:val="00F614C3"/>
    <w:rsid w:val="00F61BCE"/>
    <w:rsid w:val="00F61FAB"/>
    <w:rsid w:val="00F62062"/>
    <w:rsid w:val="00F622BF"/>
    <w:rsid w:val="00F62666"/>
    <w:rsid w:val="00F62741"/>
    <w:rsid w:val="00F62811"/>
    <w:rsid w:val="00F629FC"/>
    <w:rsid w:val="00F62EFD"/>
    <w:rsid w:val="00F62F63"/>
    <w:rsid w:val="00F62FF8"/>
    <w:rsid w:val="00F63DD6"/>
    <w:rsid w:val="00F642B8"/>
    <w:rsid w:val="00F64342"/>
    <w:rsid w:val="00F64F7A"/>
    <w:rsid w:val="00F64FE3"/>
    <w:rsid w:val="00F65284"/>
    <w:rsid w:val="00F655A8"/>
    <w:rsid w:val="00F65918"/>
    <w:rsid w:val="00F6592A"/>
    <w:rsid w:val="00F6641F"/>
    <w:rsid w:val="00F66DF6"/>
    <w:rsid w:val="00F670B9"/>
    <w:rsid w:val="00F67100"/>
    <w:rsid w:val="00F67222"/>
    <w:rsid w:val="00F6749B"/>
    <w:rsid w:val="00F674EA"/>
    <w:rsid w:val="00F67AEB"/>
    <w:rsid w:val="00F67B85"/>
    <w:rsid w:val="00F701D5"/>
    <w:rsid w:val="00F70BF6"/>
    <w:rsid w:val="00F70D7B"/>
    <w:rsid w:val="00F7127E"/>
    <w:rsid w:val="00F7186A"/>
    <w:rsid w:val="00F71CEF"/>
    <w:rsid w:val="00F71FF3"/>
    <w:rsid w:val="00F72138"/>
    <w:rsid w:val="00F723C0"/>
    <w:rsid w:val="00F72497"/>
    <w:rsid w:val="00F73162"/>
    <w:rsid w:val="00F73E7C"/>
    <w:rsid w:val="00F73FC1"/>
    <w:rsid w:val="00F74043"/>
    <w:rsid w:val="00F74063"/>
    <w:rsid w:val="00F7421E"/>
    <w:rsid w:val="00F742E0"/>
    <w:rsid w:val="00F74980"/>
    <w:rsid w:val="00F74C55"/>
    <w:rsid w:val="00F74E1C"/>
    <w:rsid w:val="00F751C4"/>
    <w:rsid w:val="00F75478"/>
    <w:rsid w:val="00F75E8B"/>
    <w:rsid w:val="00F760F1"/>
    <w:rsid w:val="00F76644"/>
    <w:rsid w:val="00F7692C"/>
    <w:rsid w:val="00F76ADF"/>
    <w:rsid w:val="00F76B60"/>
    <w:rsid w:val="00F76C0D"/>
    <w:rsid w:val="00F7738A"/>
    <w:rsid w:val="00F77440"/>
    <w:rsid w:val="00F777BC"/>
    <w:rsid w:val="00F777C3"/>
    <w:rsid w:val="00F77A04"/>
    <w:rsid w:val="00F77AC3"/>
    <w:rsid w:val="00F8059F"/>
    <w:rsid w:val="00F8083E"/>
    <w:rsid w:val="00F809ED"/>
    <w:rsid w:val="00F80DB3"/>
    <w:rsid w:val="00F80EAD"/>
    <w:rsid w:val="00F81011"/>
    <w:rsid w:val="00F812B0"/>
    <w:rsid w:val="00F8174E"/>
    <w:rsid w:val="00F823A2"/>
    <w:rsid w:val="00F82611"/>
    <w:rsid w:val="00F82CB3"/>
    <w:rsid w:val="00F83315"/>
    <w:rsid w:val="00F833BE"/>
    <w:rsid w:val="00F834BD"/>
    <w:rsid w:val="00F83C78"/>
    <w:rsid w:val="00F84353"/>
    <w:rsid w:val="00F844CC"/>
    <w:rsid w:val="00F84742"/>
    <w:rsid w:val="00F84BD2"/>
    <w:rsid w:val="00F84D85"/>
    <w:rsid w:val="00F857E1"/>
    <w:rsid w:val="00F85AEC"/>
    <w:rsid w:val="00F87211"/>
    <w:rsid w:val="00F87700"/>
    <w:rsid w:val="00F8771F"/>
    <w:rsid w:val="00F87DE2"/>
    <w:rsid w:val="00F90611"/>
    <w:rsid w:val="00F906B3"/>
    <w:rsid w:val="00F906CD"/>
    <w:rsid w:val="00F906FA"/>
    <w:rsid w:val="00F90B52"/>
    <w:rsid w:val="00F90D98"/>
    <w:rsid w:val="00F90F1A"/>
    <w:rsid w:val="00F9130A"/>
    <w:rsid w:val="00F913D9"/>
    <w:rsid w:val="00F91D01"/>
    <w:rsid w:val="00F91D87"/>
    <w:rsid w:val="00F91EC6"/>
    <w:rsid w:val="00F92029"/>
    <w:rsid w:val="00F92045"/>
    <w:rsid w:val="00F92462"/>
    <w:rsid w:val="00F926F1"/>
    <w:rsid w:val="00F92F53"/>
    <w:rsid w:val="00F930F6"/>
    <w:rsid w:val="00F931AA"/>
    <w:rsid w:val="00F936FA"/>
    <w:rsid w:val="00F94C2F"/>
    <w:rsid w:val="00F94CD3"/>
    <w:rsid w:val="00F94EE1"/>
    <w:rsid w:val="00F953D8"/>
    <w:rsid w:val="00F95EF4"/>
    <w:rsid w:val="00F96869"/>
    <w:rsid w:val="00F97089"/>
    <w:rsid w:val="00F97C23"/>
    <w:rsid w:val="00F97E95"/>
    <w:rsid w:val="00F97F4B"/>
    <w:rsid w:val="00FA05EA"/>
    <w:rsid w:val="00FA1D6D"/>
    <w:rsid w:val="00FA24A2"/>
    <w:rsid w:val="00FA262D"/>
    <w:rsid w:val="00FA345B"/>
    <w:rsid w:val="00FA3510"/>
    <w:rsid w:val="00FA3643"/>
    <w:rsid w:val="00FA3A19"/>
    <w:rsid w:val="00FA3BD4"/>
    <w:rsid w:val="00FA3DB8"/>
    <w:rsid w:val="00FA419A"/>
    <w:rsid w:val="00FA5A0C"/>
    <w:rsid w:val="00FA5D39"/>
    <w:rsid w:val="00FA5DE5"/>
    <w:rsid w:val="00FA6291"/>
    <w:rsid w:val="00FA63C6"/>
    <w:rsid w:val="00FA66B6"/>
    <w:rsid w:val="00FA6C6B"/>
    <w:rsid w:val="00FA6D5F"/>
    <w:rsid w:val="00FA7658"/>
    <w:rsid w:val="00FA79EC"/>
    <w:rsid w:val="00FA7A36"/>
    <w:rsid w:val="00FA7B88"/>
    <w:rsid w:val="00FA7DB3"/>
    <w:rsid w:val="00FB0BDD"/>
    <w:rsid w:val="00FB10D4"/>
    <w:rsid w:val="00FB11D2"/>
    <w:rsid w:val="00FB138A"/>
    <w:rsid w:val="00FB1438"/>
    <w:rsid w:val="00FB1863"/>
    <w:rsid w:val="00FB1B52"/>
    <w:rsid w:val="00FB2907"/>
    <w:rsid w:val="00FB3224"/>
    <w:rsid w:val="00FB3761"/>
    <w:rsid w:val="00FB3CCB"/>
    <w:rsid w:val="00FB3E78"/>
    <w:rsid w:val="00FB42E3"/>
    <w:rsid w:val="00FB43D8"/>
    <w:rsid w:val="00FB46DB"/>
    <w:rsid w:val="00FB48E2"/>
    <w:rsid w:val="00FB4AA5"/>
    <w:rsid w:val="00FB5846"/>
    <w:rsid w:val="00FB5EC1"/>
    <w:rsid w:val="00FB6228"/>
    <w:rsid w:val="00FB64E0"/>
    <w:rsid w:val="00FB6A18"/>
    <w:rsid w:val="00FB733D"/>
    <w:rsid w:val="00FB7422"/>
    <w:rsid w:val="00FB7552"/>
    <w:rsid w:val="00FB7BD2"/>
    <w:rsid w:val="00FC06C8"/>
    <w:rsid w:val="00FC0886"/>
    <w:rsid w:val="00FC13EE"/>
    <w:rsid w:val="00FC1C11"/>
    <w:rsid w:val="00FC20EA"/>
    <w:rsid w:val="00FC21C3"/>
    <w:rsid w:val="00FC22C2"/>
    <w:rsid w:val="00FC23B1"/>
    <w:rsid w:val="00FC256E"/>
    <w:rsid w:val="00FC2991"/>
    <w:rsid w:val="00FC2F3C"/>
    <w:rsid w:val="00FC2F5E"/>
    <w:rsid w:val="00FC2FA7"/>
    <w:rsid w:val="00FC3002"/>
    <w:rsid w:val="00FC4053"/>
    <w:rsid w:val="00FC44FE"/>
    <w:rsid w:val="00FC4D70"/>
    <w:rsid w:val="00FC4EA6"/>
    <w:rsid w:val="00FC5291"/>
    <w:rsid w:val="00FC539F"/>
    <w:rsid w:val="00FC53F0"/>
    <w:rsid w:val="00FC5688"/>
    <w:rsid w:val="00FC58E7"/>
    <w:rsid w:val="00FC6045"/>
    <w:rsid w:val="00FC60F1"/>
    <w:rsid w:val="00FC61B7"/>
    <w:rsid w:val="00FC64DD"/>
    <w:rsid w:val="00FC6B81"/>
    <w:rsid w:val="00FC7751"/>
    <w:rsid w:val="00FC7906"/>
    <w:rsid w:val="00FC7ECA"/>
    <w:rsid w:val="00FD020C"/>
    <w:rsid w:val="00FD03E3"/>
    <w:rsid w:val="00FD0843"/>
    <w:rsid w:val="00FD09B0"/>
    <w:rsid w:val="00FD0EE1"/>
    <w:rsid w:val="00FD0FA0"/>
    <w:rsid w:val="00FD113C"/>
    <w:rsid w:val="00FD12AE"/>
    <w:rsid w:val="00FD1668"/>
    <w:rsid w:val="00FD204C"/>
    <w:rsid w:val="00FD295F"/>
    <w:rsid w:val="00FD2B26"/>
    <w:rsid w:val="00FD2FA4"/>
    <w:rsid w:val="00FD33EA"/>
    <w:rsid w:val="00FD3ABA"/>
    <w:rsid w:val="00FD3EF8"/>
    <w:rsid w:val="00FD3FB7"/>
    <w:rsid w:val="00FD498A"/>
    <w:rsid w:val="00FD4D69"/>
    <w:rsid w:val="00FD4F3F"/>
    <w:rsid w:val="00FD4FB1"/>
    <w:rsid w:val="00FD50AD"/>
    <w:rsid w:val="00FD511A"/>
    <w:rsid w:val="00FD5A64"/>
    <w:rsid w:val="00FD6074"/>
    <w:rsid w:val="00FD6498"/>
    <w:rsid w:val="00FD7026"/>
    <w:rsid w:val="00FD708D"/>
    <w:rsid w:val="00FD78C0"/>
    <w:rsid w:val="00FD7D75"/>
    <w:rsid w:val="00FD7DFA"/>
    <w:rsid w:val="00FD7E59"/>
    <w:rsid w:val="00FE01AF"/>
    <w:rsid w:val="00FE0418"/>
    <w:rsid w:val="00FE18D1"/>
    <w:rsid w:val="00FE224E"/>
    <w:rsid w:val="00FE23C7"/>
    <w:rsid w:val="00FE2809"/>
    <w:rsid w:val="00FE2D40"/>
    <w:rsid w:val="00FE3659"/>
    <w:rsid w:val="00FE3A6A"/>
    <w:rsid w:val="00FE3D89"/>
    <w:rsid w:val="00FE482D"/>
    <w:rsid w:val="00FE4E7F"/>
    <w:rsid w:val="00FE51DC"/>
    <w:rsid w:val="00FE53AD"/>
    <w:rsid w:val="00FE764C"/>
    <w:rsid w:val="00FE7C58"/>
    <w:rsid w:val="00FF0A07"/>
    <w:rsid w:val="00FF15B9"/>
    <w:rsid w:val="00FF178F"/>
    <w:rsid w:val="00FF1798"/>
    <w:rsid w:val="00FF1D94"/>
    <w:rsid w:val="00FF1DE9"/>
    <w:rsid w:val="00FF1FF2"/>
    <w:rsid w:val="00FF20D7"/>
    <w:rsid w:val="00FF2CAB"/>
    <w:rsid w:val="00FF353D"/>
    <w:rsid w:val="00FF397C"/>
    <w:rsid w:val="00FF454F"/>
    <w:rsid w:val="00FF4CD6"/>
    <w:rsid w:val="00FF5E01"/>
    <w:rsid w:val="00FF5E13"/>
    <w:rsid w:val="00FF6785"/>
    <w:rsid w:val="00FF6B9A"/>
    <w:rsid w:val="00FF6E5F"/>
    <w:rsid w:val="00FF6F37"/>
    <w:rsid w:val="00FF7169"/>
    <w:rsid w:val="00FF76F7"/>
    <w:rsid w:val="00FF7B7E"/>
    <w:rsid w:val="00FF7F68"/>
    <w:rsid w:val="01A61E09"/>
    <w:rsid w:val="01B80506"/>
    <w:rsid w:val="01DC73E0"/>
    <w:rsid w:val="036A1F1E"/>
    <w:rsid w:val="03FD0A81"/>
    <w:rsid w:val="044A3E16"/>
    <w:rsid w:val="053E69B3"/>
    <w:rsid w:val="06614F08"/>
    <w:rsid w:val="0682513E"/>
    <w:rsid w:val="07BB7D65"/>
    <w:rsid w:val="08210A15"/>
    <w:rsid w:val="0856053C"/>
    <w:rsid w:val="08784206"/>
    <w:rsid w:val="08AE7783"/>
    <w:rsid w:val="09033853"/>
    <w:rsid w:val="09420CB4"/>
    <w:rsid w:val="09CD66B2"/>
    <w:rsid w:val="0A9F38F9"/>
    <w:rsid w:val="0AF54236"/>
    <w:rsid w:val="0B354E7A"/>
    <w:rsid w:val="0C610FDC"/>
    <w:rsid w:val="0CB40DE6"/>
    <w:rsid w:val="0D272137"/>
    <w:rsid w:val="0D6D14C9"/>
    <w:rsid w:val="0D7942F6"/>
    <w:rsid w:val="0EC75EF5"/>
    <w:rsid w:val="104C37BF"/>
    <w:rsid w:val="114669A8"/>
    <w:rsid w:val="118006DC"/>
    <w:rsid w:val="11863344"/>
    <w:rsid w:val="12147FB8"/>
    <w:rsid w:val="12C235D4"/>
    <w:rsid w:val="12CE230D"/>
    <w:rsid w:val="14382EE1"/>
    <w:rsid w:val="14497911"/>
    <w:rsid w:val="15743669"/>
    <w:rsid w:val="15970EE1"/>
    <w:rsid w:val="15A96D61"/>
    <w:rsid w:val="15C62B4D"/>
    <w:rsid w:val="15D63593"/>
    <w:rsid w:val="172857E9"/>
    <w:rsid w:val="17416AA1"/>
    <w:rsid w:val="17646D1F"/>
    <w:rsid w:val="1A7E3C31"/>
    <w:rsid w:val="1B7238D0"/>
    <w:rsid w:val="1C0F721A"/>
    <w:rsid w:val="1D854AFC"/>
    <w:rsid w:val="1E2B1CE6"/>
    <w:rsid w:val="1E3A131B"/>
    <w:rsid w:val="1E4349AC"/>
    <w:rsid w:val="1F073974"/>
    <w:rsid w:val="1F235EF3"/>
    <w:rsid w:val="1FDB35E7"/>
    <w:rsid w:val="1FE37FDB"/>
    <w:rsid w:val="206430BE"/>
    <w:rsid w:val="20B748A9"/>
    <w:rsid w:val="212430ED"/>
    <w:rsid w:val="222C0C9D"/>
    <w:rsid w:val="24D02337"/>
    <w:rsid w:val="25161EF5"/>
    <w:rsid w:val="261E7C99"/>
    <w:rsid w:val="265E2631"/>
    <w:rsid w:val="27683ADA"/>
    <w:rsid w:val="277E3F74"/>
    <w:rsid w:val="278C7B3F"/>
    <w:rsid w:val="284705A3"/>
    <w:rsid w:val="28BE14E7"/>
    <w:rsid w:val="29127DFB"/>
    <w:rsid w:val="2A001FED"/>
    <w:rsid w:val="2B2E6169"/>
    <w:rsid w:val="2BA1784B"/>
    <w:rsid w:val="2C1B14AA"/>
    <w:rsid w:val="2C2E44B5"/>
    <w:rsid w:val="2C710281"/>
    <w:rsid w:val="2D001A84"/>
    <w:rsid w:val="2D0A3843"/>
    <w:rsid w:val="2D537521"/>
    <w:rsid w:val="2DD971B0"/>
    <w:rsid w:val="2E4A5CCE"/>
    <w:rsid w:val="2E640206"/>
    <w:rsid w:val="2EC44879"/>
    <w:rsid w:val="305C5FA6"/>
    <w:rsid w:val="310E3A7E"/>
    <w:rsid w:val="31E5360E"/>
    <w:rsid w:val="328A5CFA"/>
    <w:rsid w:val="32D05268"/>
    <w:rsid w:val="33CA7F63"/>
    <w:rsid w:val="368D718F"/>
    <w:rsid w:val="368F2906"/>
    <w:rsid w:val="38550CF9"/>
    <w:rsid w:val="393D0171"/>
    <w:rsid w:val="39401CCF"/>
    <w:rsid w:val="39D05271"/>
    <w:rsid w:val="39FF1629"/>
    <w:rsid w:val="3A895415"/>
    <w:rsid w:val="3B0D4F38"/>
    <w:rsid w:val="3B601BF5"/>
    <w:rsid w:val="3D07322A"/>
    <w:rsid w:val="3F2F47CE"/>
    <w:rsid w:val="402F6236"/>
    <w:rsid w:val="404E0631"/>
    <w:rsid w:val="40C4519B"/>
    <w:rsid w:val="416C7E54"/>
    <w:rsid w:val="41E1157E"/>
    <w:rsid w:val="42423BD9"/>
    <w:rsid w:val="43DD33C9"/>
    <w:rsid w:val="444C6CBD"/>
    <w:rsid w:val="46A8262C"/>
    <w:rsid w:val="472A6D58"/>
    <w:rsid w:val="481C0CDA"/>
    <w:rsid w:val="49F47F51"/>
    <w:rsid w:val="4C747C65"/>
    <w:rsid w:val="4D4A1749"/>
    <w:rsid w:val="4D5A6B9E"/>
    <w:rsid w:val="4DD22A69"/>
    <w:rsid w:val="4EA1747C"/>
    <w:rsid w:val="4EA30099"/>
    <w:rsid w:val="4EA841B5"/>
    <w:rsid w:val="4EB70217"/>
    <w:rsid w:val="4FAC1EA3"/>
    <w:rsid w:val="504925C9"/>
    <w:rsid w:val="50FE2064"/>
    <w:rsid w:val="5270551B"/>
    <w:rsid w:val="536E21EE"/>
    <w:rsid w:val="548E44C7"/>
    <w:rsid w:val="54C67EA4"/>
    <w:rsid w:val="55164323"/>
    <w:rsid w:val="568113B5"/>
    <w:rsid w:val="56A86924"/>
    <w:rsid w:val="57D20EFB"/>
    <w:rsid w:val="584943DB"/>
    <w:rsid w:val="5A5069A0"/>
    <w:rsid w:val="5A7F60E6"/>
    <w:rsid w:val="5B0608E3"/>
    <w:rsid w:val="5B4535D3"/>
    <w:rsid w:val="5CE76DCD"/>
    <w:rsid w:val="5EAB124C"/>
    <w:rsid w:val="5ECF6FC2"/>
    <w:rsid w:val="5FA937A9"/>
    <w:rsid w:val="5FDA449D"/>
    <w:rsid w:val="5FF73BFE"/>
    <w:rsid w:val="60A26178"/>
    <w:rsid w:val="60A2791B"/>
    <w:rsid w:val="61301555"/>
    <w:rsid w:val="62442F44"/>
    <w:rsid w:val="62466860"/>
    <w:rsid w:val="630F7818"/>
    <w:rsid w:val="633C0DEA"/>
    <w:rsid w:val="64CF6897"/>
    <w:rsid w:val="64E149E4"/>
    <w:rsid w:val="65082116"/>
    <w:rsid w:val="671B23FA"/>
    <w:rsid w:val="674C4533"/>
    <w:rsid w:val="676B79AA"/>
    <w:rsid w:val="67E63688"/>
    <w:rsid w:val="68056FA5"/>
    <w:rsid w:val="6A17198B"/>
    <w:rsid w:val="6A1954FA"/>
    <w:rsid w:val="6A7F7974"/>
    <w:rsid w:val="6B001203"/>
    <w:rsid w:val="6D155F31"/>
    <w:rsid w:val="6D8049B5"/>
    <w:rsid w:val="6FC54D0E"/>
    <w:rsid w:val="71FF1004"/>
    <w:rsid w:val="724F0A16"/>
    <w:rsid w:val="740B1FF0"/>
    <w:rsid w:val="74421B3B"/>
    <w:rsid w:val="749F77DE"/>
    <w:rsid w:val="751370E0"/>
    <w:rsid w:val="7562469E"/>
    <w:rsid w:val="75834ECC"/>
    <w:rsid w:val="75D57F3F"/>
    <w:rsid w:val="780B4B05"/>
    <w:rsid w:val="783C4A48"/>
    <w:rsid w:val="793B4DF1"/>
    <w:rsid w:val="796E2148"/>
    <w:rsid w:val="7A07349A"/>
    <w:rsid w:val="7B5B3EF1"/>
    <w:rsid w:val="7BB2734C"/>
    <w:rsid w:val="7DA13C48"/>
    <w:rsid w:val="7E447D30"/>
    <w:rsid w:val="7EFF28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52"/>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40"/>
    <w:qFormat/>
    <w:uiPriority w:val="9"/>
    <w:pPr>
      <w:keepNext/>
      <w:keepLines/>
      <w:spacing w:before="280" w:after="290" w:line="376" w:lineRule="auto"/>
      <w:outlineLvl w:val="3"/>
    </w:pPr>
    <w:rPr>
      <w:rFonts w:ascii="Cambria" w:hAnsi="Cambria"/>
      <w:b/>
      <w:bCs/>
      <w:kern w:val="0"/>
      <w:sz w:val="28"/>
      <w:szCs w:val="28"/>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6">
    <w:name w:val="Normal Indent"/>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4"/>
      <w:lang w:val="en-US" w:eastAsia="zh-CN" w:bidi="ar"/>
    </w:rPr>
  </w:style>
  <w:style w:type="paragraph" w:styleId="7">
    <w:name w:val="annotation text"/>
    <w:basedOn w:val="1"/>
    <w:link w:val="48"/>
    <w:unhideWhenUsed/>
    <w:qFormat/>
    <w:uiPriority w:val="99"/>
    <w:pPr>
      <w:jc w:val="left"/>
    </w:pPr>
  </w:style>
  <w:style w:type="paragraph" w:styleId="8">
    <w:name w:val="Body Text"/>
    <w:basedOn w:val="1"/>
    <w:link w:val="38"/>
    <w:qFormat/>
    <w:uiPriority w:val="0"/>
    <w:pPr>
      <w:spacing w:after="120"/>
    </w:pPr>
    <w:rPr>
      <w:kern w:val="0"/>
      <w:sz w:val="20"/>
      <w:szCs w:val="24"/>
    </w:rPr>
  </w:style>
  <w:style w:type="paragraph" w:styleId="9">
    <w:name w:val="toc 3"/>
    <w:basedOn w:val="1"/>
    <w:next w:val="1"/>
    <w:unhideWhenUsed/>
    <w:qFormat/>
    <w:uiPriority w:val="39"/>
    <w:pPr>
      <w:widowControl/>
      <w:spacing w:after="100" w:line="276" w:lineRule="auto"/>
      <w:ind w:left="440"/>
      <w:jc w:val="left"/>
    </w:pPr>
    <w:rPr>
      <w:kern w:val="0"/>
      <w:sz w:val="22"/>
    </w:rPr>
  </w:style>
  <w:style w:type="paragraph" w:styleId="10">
    <w:name w:val="Plain Text"/>
    <w:basedOn w:val="1"/>
    <w:link w:val="43"/>
    <w:qFormat/>
    <w:uiPriority w:val="0"/>
    <w:rPr>
      <w:rFonts w:ascii="宋体" w:hAnsi="Courier New"/>
      <w:kern w:val="0"/>
      <w:sz w:val="20"/>
      <w:szCs w:val="24"/>
    </w:rPr>
  </w:style>
  <w:style w:type="paragraph" w:styleId="11">
    <w:name w:val="Date"/>
    <w:basedOn w:val="1"/>
    <w:next w:val="1"/>
    <w:link w:val="47"/>
    <w:unhideWhenUsed/>
    <w:qFormat/>
    <w:uiPriority w:val="0"/>
    <w:pPr>
      <w:ind w:left="100" w:leftChars="2500"/>
    </w:pPr>
  </w:style>
  <w:style w:type="paragraph" w:styleId="12">
    <w:name w:val="Balloon Text"/>
    <w:basedOn w:val="1"/>
    <w:link w:val="55"/>
    <w:unhideWhenUsed/>
    <w:qFormat/>
    <w:uiPriority w:val="99"/>
    <w:rPr>
      <w:kern w:val="0"/>
      <w:sz w:val="18"/>
      <w:szCs w:val="18"/>
    </w:rPr>
  </w:style>
  <w:style w:type="paragraph" w:styleId="13">
    <w:name w:val="footer"/>
    <w:basedOn w:val="1"/>
    <w:link w:val="51"/>
    <w:unhideWhenUsed/>
    <w:qFormat/>
    <w:uiPriority w:val="99"/>
    <w:pPr>
      <w:tabs>
        <w:tab w:val="center" w:pos="4153"/>
        <w:tab w:val="right" w:pos="8306"/>
      </w:tabs>
      <w:snapToGrid w:val="0"/>
      <w:jc w:val="left"/>
    </w:pPr>
    <w:rPr>
      <w:kern w:val="0"/>
      <w:sz w:val="18"/>
      <w:szCs w:val="18"/>
    </w:rPr>
  </w:style>
  <w:style w:type="paragraph" w:styleId="14">
    <w:name w:val="header"/>
    <w:basedOn w:val="1"/>
    <w:link w:val="5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pPr>
      <w:widowControl/>
      <w:tabs>
        <w:tab w:val="right" w:leader="dot" w:pos="8273"/>
      </w:tabs>
      <w:spacing w:line="360" w:lineRule="auto"/>
      <w:jc w:val="left"/>
    </w:pPr>
    <w:rPr>
      <w:rFonts w:eastAsia="黑体"/>
      <w:kern w:val="0"/>
      <w:sz w:val="22"/>
    </w:rPr>
  </w:style>
  <w:style w:type="paragraph" w:styleId="16">
    <w:name w:val="toc 2"/>
    <w:basedOn w:val="1"/>
    <w:next w:val="1"/>
    <w:unhideWhenUsed/>
    <w:qFormat/>
    <w:uiPriority w:val="39"/>
    <w:pPr>
      <w:widowControl/>
      <w:tabs>
        <w:tab w:val="right" w:leader="dot" w:pos="8302"/>
      </w:tabs>
      <w:spacing w:after="100" w:line="276" w:lineRule="auto"/>
      <w:ind w:left="221"/>
      <w:jc w:val="left"/>
    </w:pPr>
    <w:rPr>
      <w:kern w:val="0"/>
      <w:sz w:val="22"/>
    </w:rPr>
  </w:style>
  <w:style w:type="paragraph" w:styleId="17">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18">
    <w:name w:val="annotation subject"/>
    <w:basedOn w:val="7"/>
    <w:next w:val="7"/>
    <w:link w:val="54"/>
    <w:unhideWhenUsed/>
    <w:qFormat/>
    <w:uiPriority w:val="99"/>
    <w:rPr>
      <w:b/>
      <w:bCs/>
      <w:kern w:val="0"/>
      <w:sz w:val="20"/>
      <w:szCs w:val="20"/>
    </w:rPr>
  </w:style>
  <w:style w:type="paragraph" w:styleId="19">
    <w:name w:val="Body Text First Indent"/>
    <w:basedOn w:val="8"/>
    <w:link w:val="37"/>
    <w:unhideWhenUsed/>
    <w:qFormat/>
    <w:uiPriority w:val="99"/>
    <w:pPr>
      <w:ind w:firstLine="420" w:firstLineChars="100"/>
    </w:pPr>
    <w:rPr>
      <w:rFonts w:ascii="Calibri" w:hAnsi="Calibri"/>
      <w:kern w:val="2"/>
      <w:sz w:val="21"/>
      <w:szCs w:val="22"/>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22"/>
    <w:rPr>
      <w:b/>
      <w:bCs/>
    </w:rPr>
  </w:style>
  <w:style w:type="character" w:styleId="24">
    <w:name w:val="FollowedHyperlink"/>
    <w:unhideWhenUsed/>
    <w:qFormat/>
    <w:uiPriority w:val="99"/>
    <w:rPr>
      <w:color w:val="800080"/>
      <w:u w:val="single"/>
    </w:rPr>
  </w:style>
  <w:style w:type="character" w:styleId="25">
    <w:name w:val="Hyperlink"/>
    <w:qFormat/>
    <w:uiPriority w:val="99"/>
    <w:rPr>
      <w:color w:val="0000FF"/>
      <w:u w:val="single"/>
    </w:rPr>
  </w:style>
  <w:style w:type="character" w:styleId="26">
    <w:name w:val="annotation reference"/>
    <w:unhideWhenUsed/>
    <w:qFormat/>
    <w:uiPriority w:val="0"/>
    <w:rPr>
      <w:sz w:val="21"/>
      <w:szCs w:val="21"/>
    </w:rPr>
  </w:style>
  <w:style w:type="paragraph" w:customStyle="1" w:styleId="27">
    <w:name w:val="_Style 202"/>
    <w:basedOn w:val="1"/>
    <w:qFormat/>
    <w:uiPriority w:val="0"/>
    <w:pPr>
      <w:tabs>
        <w:tab w:val="left" w:pos="360"/>
      </w:tabs>
    </w:pPr>
    <w:rPr>
      <w:szCs w:val="24"/>
    </w:rPr>
  </w:style>
  <w:style w:type="paragraph" w:customStyle="1" w:styleId="28">
    <w:name w:val="保留正文"/>
    <w:basedOn w:val="8"/>
    <w:qFormat/>
    <w:uiPriority w:val="0"/>
    <w:pPr>
      <w:keepNext/>
      <w:spacing w:after="160"/>
    </w:pPr>
  </w:style>
  <w:style w:type="paragraph" w:customStyle="1" w:styleId="29">
    <w:name w:val="列出段落1"/>
    <w:basedOn w:val="1"/>
    <w:qFormat/>
    <w:uiPriority w:val="34"/>
    <w:pPr>
      <w:ind w:firstLine="420" w:firstLineChars="200"/>
    </w:pPr>
    <w:rPr>
      <w:rFonts w:ascii="Calibri" w:hAnsi="Calibri" w:cs="黑体"/>
    </w:rPr>
  </w:style>
  <w:style w:type="paragraph" w:customStyle="1" w:styleId="30">
    <w:name w:val="1 Char Char Char Char"/>
    <w:basedOn w:val="1"/>
    <w:qFormat/>
    <w:uiPriority w:val="0"/>
    <w:pPr>
      <w:spacing w:after="160" w:line="240" w:lineRule="exact"/>
    </w:pPr>
    <w:rPr>
      <w:szCs w:val="24"/>
    </w:rPr>
  </w:style>
  <w:style w:type="paragraph" w:customStyle="1" w:styleId="31">
    <w:name w:val="修订1"/>
    <w:semiHidden/>
    <w:qFormat/>
    <w:uiPriority w:val="99"/>
    <w:rPr>
      <w:rFonts w:ascii="Times New Roman" w:hAnsi="Times New Roman" w:eastAsia="宋体" w:cs="Times New Roman"/>
      <w:kern w:val="2"/>
      <w:sz w:val="21"/>
      <w:szCs w:val="22"/>
      <w:lang w:val="en-US" w:eastAsia="zh-CN" w:bidi="ar-SA"/>
    </w:rPr>
  </w:style>
  <w:style w:type="paragraph" w:customStyle="1" w:styleId="32">
    <w:name w:val="列表段落1"/>
    <w:basedOn w:val="1"/>
    <w:link w:val="42"/>
    <w:qFormat/>
    <w:uiPriority w:val="34"/>
    <w:pPr>
      <w:ind w:firstLine="420" w:firstLineChars="200"/>
    </w:pPr>
  </w:style>
  <w:style w:type="paragraph" w:customStyle="1" w:styleId="33">
    <w:name w:val="正文缩进4格"/>
    <w:basedOn w:val="34"/>
    <w:qFormat/>
    <w:uiPriority w:val="0"/>
    <w:pPr>
      <w:spacing w:line="340" w:lineRule="exact"/>
      <w:ind w:firstLine="315" w:firstLineChars="0"/>
    </w:pPr>
    <w:rPr>
      <w:rFonts w:ascii="宋体" w:eastAsia="宋体"/>
      <w:sz w:val="24"/>
      <w:szCs w:val="24"/>
    </w:rPr>
  </w:style>
  <w:style w:type="paragraph" w:customStyle="1" w:styleId="34">
    <w:name w:val="正文缩进2格"/>
    <w:basedOn w:val="1"/>
    <w:link w:val="46"/>
    <w:qFormat/>
    <w:uiPriority w:val="0"/>
    <w:pPr>
      <w:spacing w:line="600" w:lineRule="exact"/>
      <w:ind w:firstLine="639" w:firstLineChars="206"/>
    </w:pPr>
    <w:rPr>
      <w:rFonts w:ascii="仿宋_GB2312" w:hAnsi="宋体" w:eastAsia="仿宋_GB2312"/>
      <w:kern w:val="0"/>
      <w:sz w:val="31"/>
      <w:szCs w:val="28"/>
    </w:rPr>
  </w:style>
  <w:style w:type="paragraph" w:customStyle="1" w:styleId="35">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Char1 Char Char Char"/>
    <w:basedOn w:val="1"/>
    <w:qFormat/>
    <w:uiPriority w:val="0"/>
    <w:rPr>
      <w:rFonts w:ascii="黑体" w:hAnsi="Verdana" w:eastAsia="黑体"/>
      <w:kern w:val="0"/>
      <w:sz w:val="32"/>
      <w:szCs w:val="32"/>
      <w:lang w:eastAsia="en-US"/>
    </w:rPr>
  </w:style>
  <w:style w:type="character" w:customStyle="1" w:styleId="37">
    <w:name w:val="正文首行缩进 Char"/>
    <w:basedOn w:val="38"/>
    <w:link w:val="19"/>
    <w:semiHidden/>
    <w:qFormat/>
    <w:uiPriority w:val="99"/>
    <w:rPr>
      <w:rFonts w:ascii="Times New Roman" w:hAnsi="Times New Roman" w:eastAsia="宋体" w:cs="Times New Roman"/>
      <w:kern w:val="2"/>
      <w:sz w:val="21"/>
      <w:szCs w:val="22"/>
    </w:rPr>
  </w:style>
  <w:style w:type="character" w:customStyle="1" w:styleId="38">
    <w:name w:val="正文文本 Char1"/>
    <w:link w:val="8"/>
    <w:qFormat/>
    <w:uiPriority w:val="0"/>
    <w:rPr>
      <w:rFonts w:ascii="Times New Roman" w:hAnsi="Times New Roman" w:eastAsia="宋体" w:cs="Times New Roman"/>
      <w:szCs w:val="24"/>
    </w:rPr>
  </w:style>
  <w:style w:type="character" w:customStyle="1" w:styleId="39">
    <w:name w:val="标题 2 Char"/>
    <w:link w:val="3"/>
    <w:qFormat/>
    <w:uiPriority w:val="9"/>
    <w:rPr>
      <w:rFonts w:ascii="Cambria" w:hAnsi="Cambria" w:eastAsia="宋体" w:cs="Times New Roman"/>
      <w:b/>
      <w:bCs/>
      <w:sz w:val="32"/>
      <w:szCs w:val="32"/>
    </w:rPr>
  </w:style>
  <w:style w:type="character" w:customStyle="1" w:styleId="40">
    <w:name w:val="标题 4 Char"/>
    <w:link w:val="5"/>
    <w:semiHidden/>
    <w:qFormat/>
    <w:uiPriority w:val="9"/>
    <w:rPr>
      <w:rFonts w:ascii="Cambria" w:hAnsi="Cambria" w:eastAsia="宋体" w:cs="Times New Roman"/>
      <w:b/>
      <w:bCs/>
      <w:sz w:val="28"/>
      <w:szCs w:val="28"/>
    </w:rPr>
  </w:style>
  <w:style w:type="character" w:customStyle="1" w:styleId="41">
    <w:name w:val="样式 楷体_GB2312 小四"/>
    <w:qFormat/>
    <w:uiPriority w:val="0"/>
    <w:rPr>
      <w:rFonts w:ascii="楷体_GB2312" w:hAnsi="楷体_GB2312" w:eastAsia="仿宋_GB2312"/>
      <w:sz w:val="24"/>
    </w:rPr>
  </w:style>
  <w:style w:type="character" w:customStyle="1" w:styleId="42">
    <w:name w:val="列出段落 Char"/>
    <w:link w:val="32"/>
    <w:qFormat/>
    <w:uiPriority w:val="34"/>
  </w:style>
  <w:style w:type="character" w:customStyle="1" w:styleId="43">
    <w:name w:val="纯文本 Char1"/>
    <w:link w:val="10"/>
    <w:qFormat/>
    <w:uiPriority w:val="0"/>
    <w:rPr>
      <w:rFonts w:ascii="宋体" w:hAnsi="Courier New" w:eastAsia="宋体"/>
      <w:szCs w:val="24"/>
    </w:rPr>
  </w:style>
  <w:style w:type="character" w:customStyle="1" w:styleId="44">
    <w:name w:val="正文文本 Char"/>
    <w:basedOn w:val="22"/>
    <w:semiHidden/>
    <w:qFormat/>
    <w:uiPriority w:val="99"/>
  </w:style>
  <w:style w:type="character" w:customStyle="1" w:styleId="45">
    <w:name w:val="p141"/>
    <w:qFormat/>
    <w:uiPriority w:val="0"/>
    <w:rPr>
      <w:sz w:val="21"/>
      <w:szCs w:val="21"/>
    </w:rPr>
  </w:style>
  <w:style w:type="character" w:customStyle="1" w:styleId="46">
    <w:name w:val="正文缩进2格 Char"/>
    <w:link w:val="34"/>
    <w:qFormat/>
    <w:uiPriority w:val="0"/>
    <w:rPr>
      <w:rFonts w:ascii="仿宋_GB2312" w:hAnsi="宋体" w:eastAsia="仿宋_GB2312" w:cs="Times New Roman"/>
      <w:sz w:val="31"/>
      <w:szCs w:val="28"/>
    </w:rPr>
  </w:style>
  <w:style w:type="character" w:customStyle="1" w:styleId="47">
    <w:name w:val="日期 Char"/>
    <w:basedOn w:val="22"/>
    <w:link w:val="11"/>
    <w:semiHidden/>
    <w:qFormat/>
    <w:uiPriority w:val="99"/>
  </w:style>
  <w:style w:type="character" w:customStyle="1" w:styleId="48">
    <w:name w:val="批注文字 Char"/>
    <w:basedOn w:val="22"/>
    <w:link w:val="7"/>
    <w:semiHidden/>
    <w:qFormat/>
    <w:uiPriority w:val="99"/>
  </w:style>
  <w:style w:type="character" w:customStyle="1" w:styleId="49">
    <w:name w:val="标题 1 Char"/>
    <w:link w:val="2"/>
    <w:qFormat/>
    <w:uiPriority w:val="9"/>
    <w:rPr>
      <w:b/>
      <w:bCs/>
      <w:kern w:val="44"/>
      <w:sz w:val="44"/>
      <w:szCs w:val="44"/>
    </w:rPr>
  </w:style>
  <w:style w:type="character" w:customStyle="1" w:styleId="50">
    <w:name w:val="正文缩进2格 Char Char"/>
    <w:qFormat/>
    <w:uiPriority w:val="0"/>
    <w:rPr>
      <w:rFonts w:ascii="仿宋_GB2312" w:hAnsi="宋体" w:eastAsia="仿宋_GB2312"/>
      <w:kern w:val="2"/>
      <w:sz w:val="31"/>
      <w:szCs w:val="28"/>
      <w:lang w:val="en-US" w:eastAsia="zh-CN" w:bidi="ar-SA"/>
    </w:rPr>
  </w:style>
  <w:style w:type="character" w:customStyle="1" w:styleId="51">
    <w:name w:val="页脚 Char"/>
    <w:link w:val="13"/>
    <w:qFormat/>
    <w:uiPriority w:val="99"/>
    <w:rPr>
      <w:sz w:val="18"/>
      <w:szCs w:val="18"/>
    </w:rPr>
  </w:style>
  <w:style w:type="character" w:customStyle="1" w:styleId="52">
    <w:name w:val="标题 3 Char"/>
    <w:link w:val="4"/>
    <w:semiHidden/>
    <w:qFormat/>
    <w:uiPriority w:val="9"/>
    <w:rPr>
      <w:b/>
      <w:bCs/>
      <w:sz w:val="32"/>
      <w:szCs w:val="32"/>
    </w:rPr>
  </w:style>
  <w:style w:type="character" w:customStyle="1" w:styleId="53">
    <w:name w:val="纯文本 Char"/>
    <w:semiHidden/>
    <w:qFormat/>
    <w:uiPriority w:val="99"/>
    <w:rPr>
      <w:rFonts w:ascii="宋体" w:hAnsi="Courier New" w:eastAsia="宋体" w:cs="Courier New"/>
      <w:szCs w:val="21"/>
    </w:rPr>
  </w:style>
  <w:style w:type="character" w:customStyle="1" w:styleId="54">
    <w:name w:val="批注主题 Char"/>
    <w:link w:val="18"/>
    <w:semiHidden/>
    <w:qFormat/>
    <w:uiPriority w:val="99"/>
    <w:rPr>
      <w:b/>
      <w:bCs/>
    </w:rPr>
  </w:style>
  <w:style w:type="character" w:customStyle="1" w:styleId="55">
    <w:name w:val="批注框文本 Char"/>
    <w:link w:val="12"/>
    <w:semiHidden/>
    <w:qFormat/>
    <w:uiPriority w:val="99"/>
    <w:rPr>
      <w:sz w:val="18"/>
      <w:szCs w:val="18"/>
    </w:rPr>
  </w:style>
  <w:style w:type="character" w:customStyle="1" w:styleId="56">
    <w:name w:val="页眉 Char"/>
    <w:link w:val="14"/>
    <w:qFormat/>
    <w:uiPriority w:val="99"/>
    <w:rPr>
      <w:sz w:val="18"/>
      <w:szCs w:val="18"/>
    </w:rPr>
  </w:style>
  <w:style w:type="character" w:customStyle="1" w:styleId="57">
    <w:name w:val="标题1"/>
    <w:qFormat/>
    <w:uiPriority w:val="0"/>
  </w:style>
  <w:style w:type="character" w:customStyle="1" w:styleId="58">
    <w:name w:val="font21"/>
    <w:basedOn w:val="22"/>
    <w:qFormat/>
    <w:uiPriority w:val="0"/>
    <w:rPr>
      <w:rFonts w:hint="eastAsia" w:ascii="宋体" w:hAnsi="宋体" w:eastAsia="宋体" w:cs="宋体"/>
      <w:color w:val="000000"/>
      <w:sz w:val="36"/>
      <w:szCs w:val="36"/>
      <w:u w:val="none"/>
    </w:rPr>
  </w:style>
  <w:style w:type="character" w:customStyle="1" w:styleId="59">
    <w:name w:val="font71"/>
    <w:basedOn w:val="22"/>
    <w:qFormat/>
    <w:uiPriority w:val="0"/>
    <w:rPr>
      <w:rFonts w:hint="eastAsia" w:ascii="宋体" w:hAnsi="宋体" w:eastAsia="宋体" w:cs="宋体"/>
      <w:color w:val="FF0000"/>
      <w:sz w:val="36"/>
      <w:szCs w:val="36"/>
      <w:u w:val="none"/>
    </w:rPr>
  </w:style>
  <w:style w:type="character" w:customStyle="1" w:styleId="60">
    <w:name w:val="font81"/>
    <w:basedOn w:val="22"/>
    <w:qFormat/>
    <w:uiPriority w:val="0"/>
    <w:rPr>
      <w:rFonts w:hint="eastAsia" w:ascii="宋体" w:hAnsi="宋体" w:eastAsia="宋体" w:cs="宋体"/>
      <w:b/>
      <w:bCs/>
      <w:color w:val="FF0000"/>
      <w:sz w:val="36"/>
      <w:szCs w:val="3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7108</Words>
  <Characters>7399</Characters>
  <Lines>170</Lines>
  <Paragraphs>48</Paragraphs>
  <TotalTime>55</TotalTime>
  <ScaleCrop>false</ScaleCrop>
  <LinksUpToDate>false</LinksUpToDate>
  <CharactersWithSpaces>7590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2020-02-21T00:59:00Z</dcterms:created>
  <dc:creator>Chinese User</dc:creator>
  <cp:lastModifiedBy>钟慧敏</cp:lastModifiedBy>
  <cp:lastPrinted>2026-09-04T08:42:00Z</cp:lastPrinted>
  <dcterms:modified xsi:type="dcterms:W3CDTF">2026-09-08T08:13:09Z</dcterms:modified>
  <dc:title>财政资金定期保值增值业务项目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8BE30B317FA94E4FAF7ACAC7ECB967E1_13</vt:lpwstr>
  </property>
  <property fmtid="{D5CDD505-2E9C-101B-9397-08002B2CF9AE}" pid="4" name="KSOTemplateDocerSaveRecord">
    <vt:lpwstr>eyJoZGlkIjoiMjk4ZWQzZDg3ODBkNmY0MTlmYjFhNWQ0ODljOGIxN2IiLCJ1c2VySWQiOiIzNDU5ODM4NjIifQ==</vt:lpwstr>
  </property>
</Properties>
</file>