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9CD62">
      <w:pPr>
        <w:pStyle w:val="6"/>
        <w:pageBreakBefore/>
        <w:numPr>
          <w:ilvl w:val="0"/>
          <w:numId w:val="1"/>
        </w:numPr>
        <w:spacing w:beforeLines="50" w:afterLines="50" w:line="360" w:lineRule="auto"/>
        <w:ind w:left="422" w:hanging="422" w:hangingChars="200"/>
        <w:rPr>
          <w:rFonts w:ascii="黑体" w:hAnsi="黑体" w:eastAsia="黑体"/>
          <w:b/>
          <w:bCs/>
          <w:color w:val="000000" w:themeColor="text1"/>
          <w:szCs w:val="21"/>
          <w:highlight w:val="none"/>
          <w14:textFill>
            <w14:solidFill>
              <w14:schemeClr w14:val="tx1"/>
            </w14:solidFill>
          </w14:textFill>
        </w:rPr>
      </w:pPr>
      <w:bookmarkStart w:id="0" w:name="OLE_LINK7"/>
      <w:r>
        <w:rPr>
          <w:rFonts w:hint="eastAsia" w:ascii="黑体" w:hAnsi="黑体" w:eastAsia="黑体"/>
          <w:b/>
          <w:bCs/>
          <w:color w:val="000000" w:themeColor="text1"/>
          <w:szCs w:val="21"/>
          <w:highlight w:val="none"/>
          <w14:textFill>
            <w14:solidFill>
              <w14:schemeClr w14:val="tx1"/>
            </w14:solidFill>
          </w14:textFill>
        </w:rPr>
        <w:t xml:space="preserve">附表三  </w:t>
      </w:r>
      <w:bookmarkStart w:id="5" w:name="_GoBack"/>
      <w:bookmarkStart w:id="1" w:name="OLE_LINK6"/>
      <w:r>
        <w:rPr>
          <w:rFonts w:hint="eastAsia" w:ascii="黑体" w:hAnsi="黑体" w:eastAsia="黑体"/>
          <w:b/>
          <w:bCs/>
          <w:color w:val="000000" w:themeColor="text1"/>
          <w:szCs w:val="21"/>
          <w:highlight w:val="none"/>
          <w14:textFill>
            <w14:solidFill>
              <w14:schemeClr w14:val="tx1"/>
            </w14:solidFill>
          </w14:textFill>
        </w:rPr>
        <w:t>商务技术评审表</w:t>
      </w:r>
      <w:bookmarkEnd w:id="1"/>
      <w:bookmarkEnd w:id="5"/>
    </w:p>
    <w:bookmarkEnd w:id="0"/>
    <w:tbl>
      <w:tblPr>
        <w:tblStyle w:val="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5"/>
        <w:gridCol w:w="1363"/>
        <w:gridCol w:w="570"/>
        <w:gridCol w:w="5937"/>
      </w:tblGrid>
      <w:tr w14:paraId="30A19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1"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2C9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bookmarkStart w:id="2" w:name="OLE_LINK3"/>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B7A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评分标准</w:t>
            </w: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EFEBA">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分值</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303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评分内容</w:t>
            </w:r>
          </w:p>
        </w:tc>
      </w:tr>
      <w:tr w14:paraId="62E25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43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7AFA">
            <w:pPr>
              <w:keepNext w:val="0"/>
              <w:keepLines w:val="0"/>
              <w:widowControl/>
              <w:suppressLineNumbers w:val="0"/>
              <w:jc w:val="center"/>
              <w:textAlignment w:val="center"/>
              <w:rPr>
                <w:rFonts w:ascii="黑体" w:hAnsi="宋体" w:eastAsia="黑体" w:cs="黑体"/>
                <w:b/>
                <w:bCs/>
                <w:i w:val="0"/>
                <w:iCs w:val="0"/>
                <w:color w:val="000000" w:themeColor="text1"/>
                <w:sz w:val="21"/>
                <w:szCs w:val="21"/>
                <w:highlight w:val="none"/>
                <w:u w:val="none"/>
                <w14:textFill>
                  <w14:solidFill>
                    <w14:schemeClr w14:val="tx1"/>
                  </w14:solidFill>
                </w14:textFill>
              </w:rPr>
            </w:pPr>
            <w:r>
              <w:rPr>
                <w:rFonts w:hint="eastAsia" w:ascii="黑体" w:hAnsi="宋体" w:eastAsia="黑体" w:cs="黑体"/>
                <w:b/>
                <w:bCs/>
                <w:i w:val="0"/>
                <w:iCs w:val="0"/>
                <w:color w:val="000000" w:themeColor="text1"/>
                <w:kern w:val="0"/>
                <w:sz w:val="21"/>
                <w:szCs w:val="21"/>
                <w:highlight w:val="none"/>
                <w:u w:val="none"/>
                <w:lang w:val="en-US" w:eastAsia="zh-CN" w:bidi="ar"/>
                <w14:textFill>
                  <w14:solidFill>
                    <w14:schemeClr w14:val="tx1"/>
                  </w14:solidFill>
                </w14:textFill>
              </w:rPr>
              <w:t>一、经营状况指标（40分）</w:t>
            </w:r>
          </w:p>
        </w:tc>
      </w:tr>
      <w:tr w14:paraId="34856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3"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5ECA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4760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资本充足率</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6F73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569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根据投标人总行的资本充足率数值由高到低排序，第一得满分，从第二开始依次递减0.2分，减至0分为止。</w:t>
            </w:r>
          </w:p>
        </w:tc>
      </w:tr>
      <w:tr w14:paraId="35AD8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2E1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907D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31D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415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【评审依据：投标人提供佐证资料，以上一年度末会计师事务所出具的总行年度报告（中国会计准则）为准】</w:t>
            </w:r>
          </w:p>
        </w:tc>
      </w:tr>
      <w:tr w14:paraId="2B76F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1"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F12D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B692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不良贷款率</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B4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E02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根据投标人总行的不良贷款率数值由低至高排序，第一得满分，从第二开始依次递减0.2分，减至0分为止。</w:t>
            </w:r>
          </w:p>
        </w:tc>
      </w:tr>
      <w:tr w14:paraId="38939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3"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EEC6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A52C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B29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0BD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【评审依据：投标人提供佐证资料，以上一年度末会计师事务所出具的总行年度报告（中国会计准则）为准】</w:t>
            </w:r>
          </w:p>
        </w:tc>
      </w:tr>
      <w:tr w14:paraId="02F9C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26FE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74B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在莞存贷比</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2DE4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E138">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根据投标人在莞机构存贷比数值由低到高排序，第一得满分，从第二开始依次递减0.2分，减至0分为止。</w:t>
            </w:r>
          </w:p>
        </w:tc>
      </w:tr>
      <w:tr w14:paraId="44AED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2"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5C07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5D1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3F23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5EDF">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【评审依据：以东莞市金融统计月报表（中国人民银行东莞市分行编）的数据为准，统计截止时间为当年二季度末，未提供不得分。</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计算公式：投标人</w:t>
            </w:r>
            <w:r>
              <w:rPr>
                <w:rFonts w:ascii="宋体" w:hAnsi="宋体" w:eastAsia="宋体" w:cs="宋体"/>
                <w:color w:val="000000" w:themeColor="text1"/>
                <w:sz w:val="21"/>
                <w:szCs w:val="21"/>
                <w:highlight w:val="none"/>
                <w14:textFill>
                  <w14:solidFill>
                    <w14:schemeClr w14:val="tx1"/>
                  </w14:solidFill>
                </w14:textFill>
              </w:rPr>
              <w:t xml:space="preserve">东莞市本外币各项贷款余额 </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投标人</w:t>
            </w:r>
            <w:r>
              <w:rPr>
                <w:rFonts w:ascii="宋体" w:hAnsi="宋体" w:eastAsia="宋体" w:cs="宋体"/>
                <w:color w:val="000000" w:themeColor="text1"/>
                <w:sz w:val="21"/>
                <w:szCs w:val="21"/>
                <w:highlight w:val="none"/>
                <w14:textFill>
                  <w14:solidFill>
                    <w14:schemeClr w14:val="tx1"/>
                  </w14:solidFill>
                </w14:textFill>
              </w:rPr>
              <w:t>东莞市本外币各项存款余额 ×100%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277D5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A540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EAD2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贷款增额</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4C9A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AF7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w:t>
            </w:r>
            <w:r>
              <w:rPr>
                <w:rFonts w:ascii="宋体" w:hAnsi="宋体" w:eastAsia="宋体" w:cs="宋体"/>
                <w:color w:val="000000" w:themeColor="text1"/>
                <w:sz w:val="21"/>
                <w:szCs w:val="21"/>
                <w:highlight w:val="none"/>
                <w14:textFill>
                  <w14:solidFill>
                    <w14:schemeClr w14:val="tx1"/>
                  </w14:solidFill>
                </w14:textFill>
              </w:rPr>
              <w:t>松山湖支行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本外币贷款增额数值（同比）由高到低排序，第一得满分，从第二开始依次递减0.3分，减至0分为止。</w:t>
            </w:r>
          </w:p>
        </w:tc>
      </w:tr>
      <w:tr w14:paraId="2E0B7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1B99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7D902">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1F0B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5B47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【评审依据：以中国人民银行东莞市分行反馈的投标人松山湖支行相关数据为准，统计截止时间为当年二季度末；未提供该</w:t>
            </w:r>
            <w:r>
              <w:rPr>
                <w:rStyle w:val="5"/>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footnoteReference w:id="0"/>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数据的，本项不得分。】</w:t>
            </w:r>
          </w:p>
        </w:tc>
      </w:tr>
      <w:tr w14:paraId="1AA4F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3"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6BF5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8E52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贷款增速</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2DF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758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w:t>
            </w:r>
            <w:r>
              <w:rPr>
                <w:rFonts w:ascii="宋体" w:hAnsi="宋体" w:eastAsia="宋体" w:cs="宋体"/>
                <w:color w:val="000000" w:themeColor="text1"/>
                <w:sz w:val="21"/>
                <w:szCs w:val="21"/>
                <w:highlight w:val="none"/>
                <w14:textFill>
                  <w14:solidFill>
                    <w14:schemeClr w14:val="tx1"/>
                  </w14:solidFill>
                </w14:textFill>
              </w:rPr>
              <w:t>松山湖支行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的本外币贷款增速数值（同比）由高到低排序，第一得满分，从第二开始依次递减0.3分，减至0分为止。</w:t>
            </w:r>
          </w:p>
        </w:tc>
      </w:tr>
      <w:tr w14:paraId="0DC48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A35A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B40D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1FC1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652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贷</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款余额同比增速以中国人民银行东莞市分行反馈的投标人松山湖支行相关数据为准，统计截止时间为当年二季度末，未提供不得分。对于基数为零的银行，增速取参与银行平均值】</w:t>
            </w:r>
          </w:p>
        </w:tc>
      </w:tr>
      <w:tr w14:paraId="2DC98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573C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208E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存款增额</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05D8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38E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w:t>
            </w:r>
            <w:r>
              <w:rPr>
                <w:rFonts w:ascii="宋体" w:hAnsi="宋体" w:eastAsia="宋体" w:cs="宋体"/>
                <w:color w:val="000000" w:themeColor="text1"/>
                <w:sz w:val="21"/>
                <w:szCs w:val="21"/>
                <w:highlight w:val="none"/>
                <w14:textFill>
                  <w14:solidFill>
                    <w14:schemeClr w14:val="tx1"/>
                  </w14:solidFill>
                </w14:textFill>
              </w:rPr>
              <w:t>松山湖支行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的本外币存款增额数值（同比）由高到低排序，第一得满分，从第二开始依次递减0.15分，减至0分为止。</w:t>
            </w:r>
          </w:p>
        </w:tc>
      </w:tr>
      <w:tr w14:paraId="40526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0224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0F85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3FA8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34B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【评审依据：以中国人民银行东莞市分行反馈的投标人松山湖支行相关数据为准，统计截止时间为当年二季度末，未提供不得分。】</w:t>
            </w:r>
          </w:p>
        </w:tc>
      </w:tr>
      <w:tr w14:paraId="39952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4E56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EE43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存款增速</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A76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44D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w:t>
            </w:r>
            <w:r>
              <w:rPr>
                <w:rFonts w:ascii="宋体" w:hAnsi="宋体" w:eastAsia="宋体" w:cs="宋体"/>
                <w:color w:val="000000" w:themeColor="text1"/>
                <w:sz w:val="21"/>
                <w:szCs w:val="21"/>
                <w:highlight w:val="none"/>
                <w14:textFill>
                  <w14:solidFill>
                    <w14:schemeClr w14:val="tx1"/>
                  </w14:solidFill>
                </w14:textFill>
              </w:rPr>
              <w:t>松山湖支行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的本外币存款增速数值（同比）由高到低排序，第一得满分，从第二开始依次递减0.15分，减至0分为止。</w:t>
            </w:r>
          </w:p>
        </w:tc>
      </w:tr>
      <w:tr w14:paraId="72BE0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6282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E0D0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05C72">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F3B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存款</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款余额同比增速以中国人民银行东莞市分行反馈的投标人松山湖支行相关数据为准，统计截止时间为当年二季度末，未提供不得分，对于基数为零的银行，增速取参与银行平均值】</w:t>
            </w:r>
          </w:p>
        </w:tc>
      </w:tr>
      <w:tr w14:paraId="6D72A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7"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819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C9ED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人民银行东莞地区银行业机构综合评级</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81D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945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以投标人在人民银行东莞地区银行业机构评估的综合评估结果为基准，评级在A+级的得3分，评级在A级的得2分，评级在B+级的得1分，评级低于B+的不得分。</w:t>
            </w:r>
          </w:p>
        </w:tc>
      </w:tr>
      <w:tr w14:paraId="2D2A1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B5CD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E3952">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D4B8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DC9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【评审依据：以中国人民银行东莞市分行提供的书面文件为准，未提供不得分】</w:t>
            </w:r>
          </w:p>
        </w:tc>
      </w:tr>
      <w:tr w14:paraId="02273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DA14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2DFC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广东金融监管局银行业科技支行建设评级</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046E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0B2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以投标人</w:t>
            </w:r>
            <w:r>
              <w:rPr>
                <w:rFonts w:ascii="宋体" w:hAnsi="宋体" w:eastAsia="宋体" w:cs="宋体"/>
                <w:color w:val="000000" w:themeColor="text1"/>
                <w:sz w:val="21"/>
                <w:szCs w:val="21"/>
                <w:highlight w:val="none"/>
                <w14:textFill>
                  <w14:solidFill>
                    <w14:schemeClr w14:val="tx1"/>
                  </w14:solidFill>
                </w14:textFill>
              </w:rPr>
              <w:t>松山湖支行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在广东金融监管局2025年度的综合评级结果作为评分依据，梯度评级在A级的得3分，梯度评级在B级的得2分，梯度评级在C级的得1分，C级及以下不得分。</w:t>
            </w:r>
          </w:p>
        </w:tc>
      </w:tr>
      <w:tr w14:paraId="22AAF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D22C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F894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607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716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【评审依据：以广东金融监管局、东莞金融监管分局印发或翻印的年度科技支行建设评估结果等书面文件为准，未提供不得分。】</w:t>
            </w:r>
          </w:p>
        </w:tc>
      </w:tr>
      <w:tr w14:paraId="7A109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8"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FC0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AF0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内部控制水平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5E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E16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根据投标人提供的内部控制水平（包括投标人管理体系和操作规程是否严谨规范、制度是否健全有效、监管机制是否完善、突发事件解决方案是否可行）进行综合评审：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优：投标人管理体系和操作规程严谨规范，制度健全有效，有完善的监管机制，对突发事件提出了切实可行的解决方案，得4分；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良：投标人管理体系和操作规程较为严谨，制度较健全有效，提出了较为完善有效的监管机制，对突发事件提出的解决方案可行性较强，得3分；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中：投标人管理体系和操作规程严谨性一般，制度不够健全，监管机制不够完善，对突发事件提出的解决方案可行性一般，得2分；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差：未提供方案不得分。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【评审依据：投标人提供书面材料，并加盖公章</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6FA14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84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C85647">
            <w:pPr>
              <w:keepNext w:val="0"/>
              <w:keepLines w:val="0"/>
              <w:widowControl/>
              <w:suppressLineNumbers w:val="0"/>
              <w:jc w:val="center"/>
              <w:textAlignment w:val="center"/>
              <w:rPr>
                <w:rFonts w:hint="eastAsia" w:ascii="黑体" w:hAnsi="宋体" w:eastAsia="黑体" w:cs="黑体"/>
                <w:b/>
                <w:bCs/>
                <w:i w:val="0"/>
                <w:iCs w:val="0"/>
                <w:color w:val="000000" w:themeColor="text1"/>
                <w:sz w:val="21"/>
                <w:szCs w:val="21"/>
                <w:highlight w:val="none"/>
                <w:u w:val="none"/>
                <w14:textFill>
                  <w14:solidFill>
                    <w14:schemeClr w14:val="tx1"/>
                  </w14:solidFill>
                </w14:textFill>
              </w:rPr>
            </w:pPr>
            <w:r>
              <w:rPr>
                <w:rFonts w:hint="eastAsia" w:ascii="黑体" w:hAnsi="宋体" w:eastAsia="黑体" w:cs="黑体"/>
                <w:b/>
                <w:bCs/>
                <w:i w:val="0"/>
                <w:iCs w:val="0"/>
                <w:color w:val="000000" w:themeColor="text1"/>
                <w:kern w:val="0"/>
                <w:sz w:val="21"/>
                <w:szCs w:val="21"/>
                <w:highlight w:val="none"/>
                <w:u w:val="none"/>
                <w:lang w:val="en-US" w:eastAsia="zh-CN" w:bidi="ar"/>
                <w14:textFill>
                  <w14:solidFill>
                    <w14:schemeClr w14:val="tx1"/>
                  </w14:solidFill>
                </w14:textFill>
              </w:rPr>
              <w:t>二、利率水平指标（20分）</w:t>
            </w:r>
          </w:p>
        </w:tc>
      </w:tr>
      <w:tr w14:paraId="4556B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0" w:hRule="atLeast"/>
        </w:trPr>
        <w:tc>
          <w:tcPr>
            <w:tcW w:w="565" w:type="dxa"/>
            <w:vMerge w:val="restart"/>
            <w:tcBorders>
              <w:top w:val="single" w:color="000000" w:sz="4" w:space="0"/>
              <w:left w:val="single" w:color="000000" w:sz="4" w:space="0"/>
              <w:bottom w:val="nil"/>
              <w:right w:val="single" w:color="000000" w:sz="4" w:space="0"/>
            </w:tcBorders>
            <w:shd w:val="clear" w:color="auto" w:fill="auto"/>
            <w:noWrap/>
            <w:vAlign w:val="center"/>
          </w:tcPr>
          <w:p w14:paraId="279C037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363" w:type="dxa"/>
            <w:vMerge w:val="restart"/>
            <w:tcBorders>
              <w:top w:val="single" w:color="000000" w:sz="4" w:space="0"/>
              <w:left w:val="single" w:color="000000" w:sz="4" w:space="0"/>
              <w:bottom w:val="nil"/>
              <w:right w:val="single" w:color="000000" w:sz="4" w:space="0"/>
            </w:tcBorders>
            <w:shd w:val="clear" w:color="auto" w:fill="auto"/>
            <w:vAlign w:val="center"/>
          </w:tcPr>
          <w:p w14:paraId="2E75A53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定期存款</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（大额存单）利率水平</w:t>
            </w:r>
          </w:p>
        </w:tc>
        <w:tc>
          <w:tcPr>
            <w:tcW w:w="570" w:type="dxa"/>
            <w:vMerge w:val="restart"/>
            <w:tcBorders>
              <w:top w:val="single" w:color="000000" w:sz="4" w:space="0"/>
              <w:left w:val="single" w:color="000000" w:sz="4" w:space="0"/>
              <w:bottom w:val="nil"/>
              <w:right w:val="single" w:color="000000" w:sz="4" w:space="0"/>
            </w:tcBorders>
            <w:shd w:val="clear" w:color="auto" w:fill="auto"/>
            <w:noWrap/>
            <w:vAlign w:val="center"/>
          </w:tcPr>
          <w:p w14:paraId="10C5484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20分</w:t>
            </w:r>
          </w:p>
        </w:tc>
        <w:tc>
          <w:tcPr>
            <w:tcW w:w="5937" w:type="dxa"/>
            <w:tcBorders>
              <w:top w:val="single" w:color="000000" w:sz="4" w:space="0"/>
              <w:left w:val="single" w:color="000000" w:sz="4" w:space="0"/>
              <w:bottom w:val="nil"/>
              <w:right w:val="single" w:color="000000" w:sz="4" w:space="0"/>
            </w:tcBorders>
            <w:shd w:val="clear" w:color="auto" w:fill="auto"/>
            <w:vAlign w:val="top"/>
          </w:tcPr>
          <w:p w14:paraId="7DCD7AF6">
            <w:pPr>
              <w:keepNext w:val="0"/>
              <w:keepLines w:val="0"/>
              <w:widowControl/>
              <w:suppressLineNumbers w:val="0"/>
              <w:jc w:val="left"/>
              <w:textAlignment w:val="top"/>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根据投标人提供的定期存款、大额存单利率报价，同一期限下，取定期存款、大额存单两者报价较高值作为该档次有效评分利率，与中国人民银行公布的同档次存款基准利率进行对比，按以下规则计分：</w:t>
            </w:r>
          </w:p>
          <w:p w14:paraId="12BE71EC">
            <w:pPr>
              <w:keepNext w:val="0"/>
              <w:keepLines w:val="0"/>
              <w:widowControl/>
              <w:suppressLineNumbers w:val="0"/>
              <w:jc w:val="left"/>
              <w:textAlignment w:val="top"/>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1年期档次：以各投标人有效评分利率为基础，报价最高的得 12 分；对比最高报价，每低5个BP（基点）扣减0.5分，不足5个BP不予扣分。</w:t>
            </w:r>
          </w:p>
          <w:p w14:paraId="3AB2BCF7">
            <w:pPr>
              <w:keepNext w:val="0"/>
              <w:keepLines w:val="0"/>
              <w:widowControl/>
              <w:suppressLineNumbers w:val="0"/>
              <w:jc w:val="left"/>
              <w:textAlignment w:val="top"/>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6个月期档次：以各投标人有效评分利率为基础，报价最高的得8分；对比最高报价，每低5个BP（基点）扣减0.5分，不足5个BP 不予扣分。</w:t>
            </w:r>
          </w:p>
          <w:p w14:paraId="332F066F">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注：投标人定期存款与大额存单报价均填报的，同期限取较高值；仅填报其中一项的，以填报的该项利率作为有效评分利率。</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投标人申报的存款利率须符合国家利率政策规定及市场利率定价自律机制自律管理要求。</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如遇存款基准利率调整，合同期内，投标人在投标时所承诺的存款基准利率随之调整，与人民银行公布的基准利率保持一致。</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如遇东莞人民币存款利率上限调整，合同期内，投标人在投标时所承诺的存款利率上浮幅度随之调整，与东莞人民币存款利率上限保持一致。</w:t>
            </w:r>
          </w:p>
        </w:tc>
      </w:tr>
      <w:tr w14:paraId="5A661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6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3155C4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nil"/>
              <w:right w:val="single" w:color="000000" w:sz="4" w:space="0"/>
            </w:tcBorders>
            <w:shd w:val="clear" w:color="auto" w:fill="auto"/>
            <w:vAlign w:val="center"/>
          </w:tcPr>
          <w:p w14:paraId="7A9EA13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3ABAE1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BAC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【评审依据：投标人须分别对以下存款产品提供年化利率报价：普通</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定期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存款（1年期、6个月、3个月）、大额存单（1年期、6个月、3个月）。所有产品报价须分项列示，不得合并填报，并提供书面文件加盖公章。】</w:t>
            </w:r>
          </w:p>
        </w:tc>
      </w:tr>
      <w:tr w14:paraId="0EB26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84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950361">
            <w:pPr>
              <w:keepNext w:val="0"/>
              <w:keepLines w:val="0"/>
              <w:widowControl/>
              <w:suppressLineNumbers w:val="0"/>
              <w:jc w:val="center"/>
              <w:textAlignment w:val="center"/>
              <w:rPr>
                <w:rFonts w:hint="eastAsia" w:ascii="黑体" w:hAnsi="宋体" w:eastAsia="黑体" w:cs="黑体"/>
                <w:b/>
                <w:bCs/>
                <w:i w:val="0"/>
                <w:iCs w:val="0"/>
                <w:color w:val="000000" w:themeColor="text1"/>
                <w:sz w:val="21"/>
                <w:szCs w:val="21"/>
                <w:highlight w:val="none"/>
                <w:u w:val="none"/>
                <w14:textFill>
                  <w14:solidFill>
                    <w14:schemeClr w14:val="tx1"/>
                  </w14:solidFill>
                </w14:textFill>
              </w:rPr>
            </w:pPr>
            <w:r>
              <w:rPr>
                <w:rFonts w:hint="eastAsia" w:ascii="黑体" w:hAnsi="宋体" w:eastAsia="黑体" w:cs="黑体"/>
                <w:b/>
                <w:bCs/>
                <w:i w:val="0"/>
                <w:iCs w:val="0"/>
                <w:color w:val="000000" w:themeColor="text1"/>
                <w:kern w:val="0"/>
                <w:sz w:val="21"/>
                <w:szCs w:val="21"/>
                <w:highlight w:val="none"/>
                <w:u w:val="none"/>
                <w:lang w:val="en-US" w:eastAsia="zh-CN" w:bidi="ar"/>
                <w14:textFill>
                  <w14:solidFill>
                    <w14:schemeClr w14:val="tx1"/>
                  </w14:solidFill>
                </w14:textFill>
              </w:rPr>
              <w:t>三、对地方贡献指标（30分）</w:t>
            </w:r>
          </w:p>
        </w:tc>
      </w:tr>
      <w:tr w14:paraId="442FA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4"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740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7EF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松山湖高新区企业贷款额</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F47D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DFD1">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7"/>
                <w:color w:val="000000" w:themeColor="text1"/>
                <w:sz w:val="21"/>
                <w:szCs w:val="21"/>
                <w:highlight w:val="none"/>
                <w:lang w:val="en-US" w:eastAsia="zh-CN" w:bidi="ar"/>
                <w14:textFill>
                  <w14:solidFill>
                    <w14:schemeClr w14:val="tx1"/>
                  </w14:solidFill>
                </w14:textFill>
              </w:rPr>
              <w:t>根据</w:t>
            </w:r>
            <w:r>
              <w:rPr>
                <w:rStyle w:val="8"/>
                <w:color w:val="000000" w:themeColor="text1"/>
                <w:sz w:val="21"/>
                <w:szCs w:val="21"/>
                <w:highlight w:val="none"/>
                <w:lang w:val="en-US" w:eastAsia="zh-CN" w:bidi="ar"/>
                <w14:textFill>
                  <w14:solidFill>
                    <w14:schemeClr w14:val="tx1"/>
                  </w14:solidFill>
                </w14:textFill>
              </w:rPr>
              <w:t>投标人</w:t>
            </w:r>
            <w:r>
              <w:rPr>
                <w:rStyle w:val="8"/>
                <w:rFonts w:hint="eastAsia"/>
                <w:color w:val="000000" w:themeColor="text1"/>
                <w:sz w:val="21"/>
                <w:szCs w:val="21"/>
                <w:highlight w:val="none"/>
                <w:lang w:val="en-US" w:eastAsia="zh-CN" w:bidi="ar"/>
                <w14:textFill>
                  <w14:solidFill>
                    <w14:schemeClr w14:val="tx1"/>
                  </w14:solidFill>
                </w14:textFill>
              </w:rPr>
              <w:t>松山湖支行</w:t>
            </w:r>
            <w:r>
              <w:rPr>
                <w:rStyle w:val="7"/>
                <w:color w:val="000000" w:themeColor="text1"/>
                <w:sz w:val="21"/>
                <w:szCs w:val="21"/>
                <w:highlight w:val="none"/>
                <w:lang w:val="en-US" w:eastAsia="zh-CN" w:bidi="ar"/>
                <w14:textFill>
                  <w14:solidFill>
                    <w14:schemeClr w14:val="tx1"/>
                  </w14:solidFill>
                </w14:textFill>
              </w:rPr>
              <w:t>向在松山湖高新区注册的企业发放贷款总额的数值由高到低排序，第一得5分，从第二开始依次递减0.25分，减至0分为止。</w:t>
            </w:r>
          </w:p>
        </w:tc>
      </w:tr>
      <w:tr w14:paraId="261A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3867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A7E7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675D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8B1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【评审依据：以投标人提供的书面文件为准，贷款发放时间为2025年7月1日至2026年6月30日期间，所提供的资料需分年列示并加盖</w:t>
            </w:r>
            <w:r>
              <w:rPr>
                <w:rFonts w:hint="eastAsia"/>
                <w:color w:val="000000" w:themeColor="text1"/>
                <w:sz w:val="21"/>
                <w:szCs w:val="21"/>
                <w:highlight w:val="none"/>
                <w14:textFill>
                  <w14:solidFill>
                    <w14:schemeClr w14:val="tx1"/>
                  </w14:solidFill>
                </w14:textFill>
              </w:rPr>
              <w:t>公章</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1C951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9"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8B63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25C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对园区中小企业支持</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9326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2C9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1、根据投标人</w:t>
            </w:r>
            <w:r>
              <w:rPr>
                <w:rStyle w:val="8"/>
                <w:rFonts w:hint="eastAsia"/>
                <w:color w:val="000000" w:themeColor="text1"/>
                <w:sz w:val="21"/>
                <w:szCs w:val="21"/>
                <w:highlight w:val="none"/>
                <w:lang w:val="en-US" w:eastAsia="zh-CN" w:bidi="ar"/>
                <w14:textFill>
                  <w14:solidFill>
                    <w14:schemeClr w14:val="tx1"/>
                  </w14:solidFill>
                </w14:textFill>
              </w:rPr>
              <w:t>松山湖支行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在园区中小微企业融资风险补偿资金池入池（审核通过）的贷款总额由高到低排序，第一得3分，从第二开始依次递减0.15分，减至0分为止。</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2、根据投标人在园区中小微企业融资风险补偿资金池入池（审核通过）的贷款户数由高到低排序，第一得2分，从第二开始依次递减0.1分，减至0分为止。</w:t>
            </w:r>
          </w:p>
        </w:tc>
      </w:tr>
      <w:tr w14:paraId="512AA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A2FF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0FA34">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F845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4907">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【评审依据：以银行提供的东莞松山湖融资风险补偿资金池系统截图和导出的入池项目库明细数据为准，计算截点为当年度二季度末，贷款发放时间为2025年7月1日至2026年6月30日期间。】</w:t>
            </w:r>
          </w:p>
        </w:tc>
      </w:tr>
      <w:tr w14:paraId="0DFC8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570E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2CB8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对园区纾困企业支持</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496F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36E8">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7"/>
                <w:color w:val="000000" w:themeColor="text1"/>
                <w:sz w:val="21"/>
                <w:szCs w:val="21"/>
                <w:highlight w:val="none"/>
                <w:lang w:val="en-US" w:eastAsia="zh-CN" w:bidi="ar"/>
                <w14:textFill>
                  <w14:solidFill>
                    <w14:schemeClr w14:val="tx1"/>
                  </w14:solidFill>
                </w14:textFill>
              </w:rPr>
              <w:t>根据投标人</w:t>
            </w:r>
            <w:bookmarkStart w:id="3" w:name="OLE_LINK5"/>
            <w:r>
              <w:rPr>
                <w:rStyle w:val="8"/>
                <w:rFonts w:hint="eastAsia"/>
                <w:color w:val="000000" w:themeColor="text1"/>
                <w:sz w:val="21"/>
                <w:szCs w:val="21"/>
                <w:highlight w:val="none"/>
                <w:lang w:val="en-US" w:eastAsia="zh-CN" w:bidi="ar"/>
                <w14:textFill>
                  <w14:solidFill>
                    <w14:schemeClr w14:val="tx1"/>
                  </w14:solidFill>
                </w14:textFill>
              </w:rPr>
              <w:t>松山湖支行</w:t>
            </w:r>
            <w:bookmarkEnd w:id="3"/>
            <w:r>
              <w:rPr>
                <w:rStyle w:val="7"/>
                <w:color w:val="000000" w:themeColor="text1"/>
                <w:sz w:val="21"/>
                <w:szCs w:val="21"/>
                <w:highlight w:val="none"/>
                <w:lang w:val="en-US" w:eastAsia="zh-CN" w:bidi="ar"/>
                <w14:textFill>
                  <w14:solidFill>
                    <w14:schemeClr w14:val="tx1"/>
                  </w14:solidFill>
                </w14:textFill>
              </w:rPr>
              <w:t>对园区纾困企业的贷款支持情况进行评分：为纾困企业新增贷款</w:t>
            </w:r>
            <w:r>
              <w:rPr>
                <w:rStyle w:val="8"/>
                <w:color w:val="000000" w:themeColor="text1"/>
                <w:sz w:val="21"/>
                <w:szCs w:val="21"/>
                <w:highlight w:val="none"/>
                <w:lang w:val="en-US" w:eastAsia="zh-CN" w:bidi="ar"/>
                <w14:textFill>
                  <w14:solidFill>
                    <w14:schemeClr w14:val="tx1"/>
                  </w14:solidFill>
                </w14:textFill>
              </w:rPr>
              <w:t>或计划年内新增贷款</w:t>
            </w:r>
            <w:r>
              <w:rPr>
                <w:rStyle w:val="7"/>
                <w:color w:val="000000" w:themeColor="text1"/>
                <w:sz w:val="21"/>
                <w:szCs w:val="21"/>
                <w:highlight w:val="none"/>
                <w:lang w:val="en-US" w:eastAsia="zh-CN" w:bidi="ar"/>
                <w14:textFill>
                  <w14:solidFill>
                    <w14:schemeClr w14:val="tx1"/>
                  </w14:solidFill>
                </w14:textFill>
              </w:rPr>
              <w:t>的，每新增</w:t>
            </w:r>
            <w:r>
              <w:rPr>
                <w:rStyle w:val="8"/>
                <w:color w:val="000000" w:themeColor="text1"/>
                <w:sz w:val="21"/>
                <w:szCs w:val="21"/>
                <w:highlight w:val="none"/>
                <w:lang w:val="en-US" w:eastAsia="zh-CN" w:bidi="ar"/>
                <w14:textFill>
                  <w14:solidFill>
                    <w14:schemeClr w14:val="tx1"/>
                  </w14:solidFill>
                </w14:textFill>
              </w:rPr>
              <w:t>或计划新增</w:t>
            </w:r>
            <w:r>
              <w:rPr>
                <w:rStyle w:val="7"/>
                <w:color w:val="000000" w:themeColor="text1"/>
                <w:sz w:val="21"/>
                <w:szCs w:val="21"/>
                <w:highlight w:val="none"/>
                <w:lang w:val="en-US" w:eastAsia="zh-CN" w:bidi="ar"/>
                <w14:textFill>
                  <w14:solidFill>
                    <w14:schemeClr w14:val="tx1"/>
                  </w14:solidFill>
                </w14:textFill>
              </w:rPr>
              <w:t>1家计</w:t>
            </w:r>
            <w:r>
              <w:rPr>
                <w:rStyle w:val="8"/>
                <w:color w:val="000000" w:themeColor="text1"/>
                <w:sz w:val="21"/>
                <w:szCs w:val="21"/>
                <w:highlight w:val="none"/>
                <w:lang w:val="en-US" w:eastAsia="zh-CN" w:bidi="ar"/>
                <w14:textFill>
                  <w14:solidFill>
                    <w14:schemeClr w14:val="tx1"/>
                  </w14:solidFill>
                </w14:textFill>
              </w:rPr>
              <w:t>3</w:t>
            </w:r>
            <w:r>
              <w:rPr>
                <w:rStyle w:val="7"/>
                <w:color w:val="000000" w:themeColor="text1"/>
                <w:sz w:val="21"/>
                <w:szCs w:val="21"/>
                <w:highlight w:val="none"/>
                <w:lang w:val="en-US" w:eastAsia="zh-CN" w:bidi="ar"/>
                <w14:textFill>
                  <w14:solidFill>
                    <w14:schemeClr w14:val="tx1"/>
                  </w14:solidFill>
                </w14:textFill>
              </w:rPr>
              <w:t>分；为纾困企业续贷（不减额）</w:t>
            </w:r>
            <w:r>
              <w:rPr>
                <w:rStyle w:val="8"/>
                <w:color w:val="000000" w:themeColor="text1"/>
                <w:sz w:val="21"/>
                <w:szCs w:val="21"/>
                <w:highlight w:val="none"/>
                <w:lang w:val="en-US" w:eastAsia="zh-CN" w:bidi="ar"/>
                <w14:textFill>
                  <w14:solidFill>
                    <w14:schemeClr w14:val="tx1"/>
                  </w14:solidFill>
                </w14:textFill>
              </w:rPr>
              <w:t>或计划年内续贷</w:t>
            </w:r>
            <w:r>
              <w:rPr>
                <w:rStyle w:val="7"/>
                <w:color w:val="000000" w:themeColor="text1"/>
                <w:sz w:val="21"/>
                <w:szCs w:val="21"/>
                <w:highlight w:val="none"/>
                <w:lang w:val="en-US" w:eastAsia="zh-CN" w:bidi="ar"/>
                <w14:textFill>
                  <w14:solidFill>
                    <w14:schemeClr w14:val="tx1"/>
                  </w14:solidFill>
                </w14:textFill>
              </w:rPr>
              <w:t>的，每续贷</w:t>
            </w:r>
            <w:r>
              <w:rPr>
                <w:rStyle w:val="8"/>
                <w:color w:val="000000" w:themeColor="text1"/>
                <w:sz w:val="21"/>
                <w:szCs w:val="21"/>
                <w:highlight w:val="none"/>
                <w:lang w:val="en-US" w:eastAsia="zh-CN" w:bidi="ar"/>
                <w14:textFill>
                  <w14:solidFill>
                    <w14:schemeClr w14:val="tx1"/>
                  </w14:solidFill>
                </w14:textFill>
              </w:rPr>
              <w:t>或计划续贷</w:t>
            </w:r>
            <w:r>
              <w:rPr>
                <w:rStyle w:val="7"/>
                <w:color w:val="000000" w:themeColor="text1"/>
                <w:sz w:val="21"/>
                <w:szCs w:val="21"/>
                <w:highlight w:val="none"/>
                <w:lang w:val="en-US" w:eastAsia="zh-CN" w:bidi="ar"/>
                <w14:textFill>
                  <w14:solidFill>
                    <w14:schemeClr w14:val="tx1"/>
                  </w14:solidFill>
                </w14:textFill>
              </w:rPr>
              <w:t>1家计1分，满分5分。</w:t>
            </w:r>
          </w:p>
        </w:tc>
      </w:tr>
      <w:tr w14:paraId="79B2D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E3CA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D120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55AE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62E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7"/>
                <w:color w:val="000000" w:themeColor="text1"/>
                <w:sz w:val="21"/>
                <w:szCs w:val="21"/>
                <w:highlight w:val="none"/>
                <w:lang w:val="en-US" w:eastAsia="zh-CN" w:bidi="ar"/>
                <w14:textFill>
                  <w14:solidFill>
                    <w14:schemeClr w14:val="tx1"/>
                  </w14:solidFill>
                </w14:textFill>
              </w:rPr>
              <w:t>【评审依据：</w:t>
            </w:r>
            <w:r>
              <w:rPr>
                <w:rStyle w:val="8"/>
                <w:color w:val="000000" w:themeColor="text1"/>
                <w:sz w:val="21"/>
                <w:szCs w:val="21"/>
                <w:highlight w:val="none"/>
                <w:lang w:val="en-US" w:eastAsia="zh-CN" w:bidi="ar"/>
                <w14:textFill>
                  <w14:solidFill>
                    <w14:schemeClr w14:val="tx1"/>
                  </w14:solidFill>
                </w14:textFill>
              </w:rPr>
              <w:t>纾困企业</w:t>
            </w:r>
            <w:r>
              <w:rPr>
                <w:rStyle w:val="7"/>
                <w:color w:val="000000" w:themeColor="text1"/>
                <w:sz w:val="21"/>
                <w:szCs w:val="21"/>
                <w:highlight w:val="none"/>
                <w:lang w:val="en-US" w:eastAsia="zh-CN" w:bidi="ar"/>
                <w14:textFill>
                  <w14:solidFill>
                    <w14:schemeClr w14:val="tx1"/>
                  </w14:solidFill>
                </w14:textFill>
              </w:rPr>
              <w:t>名单以东莞市松山湖财政国资金融局（金融办）提供的书面文件为准，计算截点为开标前一个月的月末，新增/续贷</w:t>
            </w:r>
            <w:r>
              <w:rPr>
                <w:rStyle w:val="8"/>
                <w:color w:val="000000" w:themeColor="text1"/>
                <w:sz w:val="21"/>
                <w:szCs w:val="21"/>
                <w:highlight w:val="none"/>
                <w:lang w:val="en-US" w:eastAsia="zh-CN" w:bidi="ar"/>
                <w14:textFill>
                  <w14:solidFill>
                    <w14:schemeClr w14:val="tx1"/>
                  </w14:solidFill>
                </w14:textFill>
              </w:rPr>
              <w:t>（含计划新增/续贷）</w:t>
            </w:r>
            <w:r>
              <w:rPr>
                <w:rStyle w:val="7"/>
                <w:color w:val="000000" w:themeColor="text1"/>
                <w:sz w:val="21"/>
                <w:szCs w:val="21"/>
                <w:highlight w:val="none"/>
                <w:lang w:val="en-US" w:eastAsia="zh-CN" w:bidi="ar"/>
                <w14:textFill>
                  <w14:solidFill>
                    <w14:schemeClr w14:val="tx1"/>
                  </w14:solidFill>
                </w14:textFill>
              </w:rPr>
              <w:t>时间为</w:t>
            </w:r>
            <w:r>
              <w:rPr>
                <w:rStyle w:val="8"/>
                <w:color w:val="000000" w:themeColor="text1"/>
                <w:sz w:val="21"/>
                <w:szCs w:val="21"/>
                <w:highlight w:val="none"/>
                <w:lang w:val="en-US" w:eastAsia="zh-CN" w:bidi="ar"/>
                <w14:textFill>
                  <w14:solidFill>
                    <w14:schemeClr w14:val="tx1"/>
                  </w14:solidFill>
                </w14:textFill>
              </w:rPr>
              <w:t>2025年6月1日起</w:t>
            </w:r>
            <w:r>
              <w:rPr>
                <w:rStyle w:val="7"/>
                <w:color w:val="000000" w:themeColor="text1"/>
                <w:sz w:val="21"/>
                <w:szCs w:val="21"/>
                <w:highlight w:val="none"/>
                <w:lang w:val="en-US" w:eastAsia="zh-CN" w:bidi="ar"/>
                <w14:textFill>
                  <w14:solidFill>
                    <w14:schemeClr w14:val="tx1"/>
                  </w14:solidFill>
                </w14:textFill>
              </w:rPr>
              <w:t>至开标前一个月的月末，</w:t>
            </w:r>
            <w:r>
              <w:rPr>
                <w:rStyle w:val="8"/>
                <w:color w:val="000000" w:themeColor="text1"/>
                <w:sz w:val="21"/>
                <w:szCs w:val="21"/>
                <w:highlight w:val="none"/>
                <w:lang w:val="en-US" w:eastAsia="zh-CN" w:bidi="ar"/>
                <w14:textFill>
                  <w14:solidFill>
                    <w14:schemeClr w14:val="tx1"/>
                  </w14:solidFill>
                </w14:textFill>
              </w:rPr>
              <w:t>新增/续贷</w:t>
            </w:r>
            <w:r>
              <w:rPr>
                <w:rStyle w:val="7"/>
                <w:color w:val="000000" w:themeColor="text1"/>
                <w:sz w:val="21"/>
                <w:szCs w:val="21"/>
                <w:highlight w:val="none"/>
                <w:lang w:val="en-US" w:eastAsia="zh-CN" w:bidi="ar"/>
                <w14:textFill>
                  <w14:solidFill>
                    <w14:schemeClr w14:val="tx1"/>
                  </w14:solidFill>
                </w14:textFill>
              </w:rPr>
              <w:t>以参与的银行机构提供的</w:t>
            </w:r>
            <w:r>
              <w:rPr>
                <w:rStyle w:val="8"/>
                <w:color w:val="000000" w:themeColor="text1"/>
                <w:sz w:val="21"/>
                <w:szCs w:val="21"/>
                <w:highlight w:val="none"/>
                <w:lang w:val="en-US" w:eastAsia="zh-CN" w:bidi="ar"/>
                <w14:textFill>
                  <w14:solidFill>
                    <w14:schemeClr w14:val="tx1"/>
                  </w14:solidFill>
                </w14:textFill>
              </w:rPr>
              <w:t>贷款合同、放款凭证</w:t>
            </w:r>
            <w:r>
              <w:rPr>
                <w:rStyle w:val="7"/>
                <w:color w:val="000000" w:themeColor="text1"/>
                <w:sz w:val="21"/>
                <w:szCs w:val="21"/>
                <w:highlight w:val="none"/>
                <w:lang w:val="en-US" w:eastAsia="zh-CN" w:bidi="ar"/>
                <w14:textFill>
                  <w14:solidFill>
                    <w14:schemeClr w14:val="tx1"/>
                  </w14:solidFill>
                </w14:textFill>
              </w:rPr>
              <w:t>等书面文件为准，</w:t>
            </w:r>
            <w:r>
              <w:rPr>
                <w:rStyle w:val="8"/>
                <w:color w:val="000000" w:themeColor="text1"/>
                <w:sz w:val="21"/>
                <w:szCs w:val="21"/>
                <w:highlight w:val="none"/>
                <w:lang w:val="en-US" w:eastAsia="zh-CN" w:bidi="ar"/>
                <w14:textFill>
                  <w14:solidFill>
                    <w14:schemeClr w14:val="tx1"/>
                  </w14:solidFill>
                </w14:textFill>
              </w:rPr>
              <w:t>计划新增/续贷以参与的银行机构上级行提供的</w:t>
            </w:r>
            <w:r>
              <w:rPr>
                <w:rStyle w:val="9"/>
                <w:color w:val="000000" w:themeColor="text1"/>
                <w:sz w:val="21"/>
                <w:szCs w:val="21"/>
                <w:highlight w:val="none"/>
                <w:lang w:val="en-US" w:eastAsia="zh-CN" w:bidi="ar"/>
                <w14:textFill>
                  <w14:solidFill>
                    <w14:schemeClr w14:val="tx1"/>
                  </w14:solidFill>
                </w14:textFill>
              </w:rPr>
              <w:t>承诺函或放款计划</w:t>
            </w:r>
            <w:r>
              <w:rPr>
                <w:rStyle w:val="8"/>
                <w:color w:val="000000" w:themeColor="text1"/>
                <w:sz w:val="21"/>
                <w:szCs w:val="21"/>
                <w:highlight w:val="none"/>
                <w:lang w:val="en-US" w:eastAsia="zh-CN" w:bidi="ar"/>
                <w14:textFill>
                  <w14:solidFill>
                    <w14:schemeClr w14:val="tx1"/>
                  </w14:solidFill>
                </w14:textFill>
              </w:rPr>
              <w:t>等书面文件为准，</w:t>
            </w:r>
            <w:r>
              <w:rPr>
                <w:rStyle w:val="7"/>
                <w:color w:val="000000" w:themeColor="text1"/>
                <w:sz w:val="21"/>
                <w:szCs w:val="21"/>
                <w:highlight w:val="none"/>
                <w:lang w:val="en-US" w:eastAsia="zh-CN" w:bidi="ar"/>
                <w14:textFill>
                  <w14:solidFill>
                    <w14:schemeClr w14:val="tx1"/>
                  </w14:solidFill>
                </w14:textFill>
              </w:rPr>
              <w:t>提供的资料需加盖</w:t>
            </w:r>
            <w:r>
              <w:rPr>
                <w:rFonts w:hint="eastAsia"/>
                <w:color w:val="000000" w:themeColor="text1"/>
                <w:sz w:val="21"/>
                <w:szCs w:val="21"/>
                <w:highlight w:val="none"/>
                <w14:textFill>
                  <w14:solidFill>
                    <w14:schemeClr w14:val="tx1"/>
                  </w14:solidFill>
                </w14:textFill>
              </w:rPr>
              <w:t>公章</w:t>
            </w:r>
            <w:r>
              <w:rPr>
                <w:rStyle w:val="7"/>
                <w:color w:val="000000" w:themeColor="text1"/>
                <w:sz w:val="21"/>
                <w:szCs w:val="21"/>
                <w:highlight w:val="none"/>
                <w:lang w:val="en-US" w:eastAsia="zh-CN" w:bidi="ar"/>
                <w14:textFill>
                  <w14:solidFill>
                    <w14:schemeClr w14:val="tx1"/>
                  </w14:solidFill>
                </w14:textFill>
              </w:rPr>
              <w:t>。】</w:t>
            </w:r>
          </w:p>
        </w:tc>
      </w:tr>
      <w:tr w14:paraId="16AAA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54C0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18CF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创新金融产品</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7AB7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D899">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1.政府主导的创新产品，根据投标人</w:t>
            </w:r>
            <w:r>
              <w:rPr>
                <w:rStyle w:val="8"/>
                <w:rFonts w:hint="eastAsia"/>
                <w:color w:val="000000" w:themeColor="text1"/>
                <w:sz w:val="21"/>
                <w:szCs w:val="21"/>
                <w:highlight w:val="none"/>
                <w:lang w:val="en-US" w:eastAsia="zh-CN" w:bidi="ar"/>
                <w14:textFill>
                  <w14:solidFill>
                    <w14:schemeClr w14:val="tx1"/>
                  </w14:solidFill>
                </w14:textFill>
              </w:rPr>
              <w:t>松山湖支行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投放的“天使贷”“园区保”的贷款户数由高到低排序，第一得3分，从第二开始依次递减0.15分，减至0分为止。</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天使贷”“园区保”贷款户数计算截点为开标前一个月的月末，贷款发放时间为2025年9月1日至开标前一个月的月末，以参与的银行机构提供的已签署完毕的委托担保函及对应的放款借据为准，所提供的资料需加盖</w:t>
            </w:r>
            <w:r>
              <w:rPr>
                <w:rFonts w:hint="eastAsia"/>
                <w:color w:val="000000" w:themeColor="text1"/>
                <w:sz w:val="21"/>
                <w:szCs w:val="21"/>
                <w:highlight w:val="none"/>
                <w14:textFill>
                  <w14:solidFill>
                    <w14:schemeClr w14:val="tx1"/>
                  </w14:solidFill>
                </w14:textFill>
              </w:rPr>
              <w:t>公章</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75D1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D67E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4B29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8495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DB69">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7"/>
                <w:color w:val="000000" w:themeColor="text1"/>
                <w:sz w:val="21"/>
                <w:szCs w:val="21"/>
                <w:highlight w:val="none"/>
                <w:lang w:val="en-US" w:eastAsia="zh-CN" w:bidi="ar"/>
                <w14:textFill>
                  <w14:solidFill>
                    <w14:schemeClr w14:val="tx1"/>
                  </w14:solidFill>
                </w14:textFill>
              </w:rPr>
              <w:t>2.银行机构自主创新产品，根据投标人</w:t>
            </w:r>
            <w:r>
              <w:rPr>
                <w:rStyle w:val="8"/>
                <w:rFonts w:hint="eastAsia"/>
                <w:color w:val="000000" w:themeColor="text1"/>
                <w:sz w:val="21"/>
                <w:szCs w:val="21"/>
                <w:highlight w:val="none"/>
                <w:lang w:val="en-US" w:eastAsia="zh-CN" w:bidi="ar"/>
                <w14:textFill>
                  <w14:solidFill>
                    <w14:schemeClr w14:val="tx1"/>
                  </w14:solidFill>
                </w14:textFill>
              </w:rPr>
              <w:t>及其上级机构</w:t>
            </w:r>
            <w:r>
              <w:rPr>
                <w:rStyle w:val="7"/>
                <w:color w:val="000000" w:themeColor="text1"/>
                <w:sz w:val="21"/>
                <w:szCs w:val="21"/>
                <w:highlight w:val="none"/>
                <w:lang w:val="en-US" w:eastAsia="zh-CN" w:bidi="ar"/>
                <w14:textFill>
                  <w14:solidFill>
                    <w14:schemeClr w14:val="tx1"/>
                  </w14:solidFill>
                </w14:textFill>
              </w:rPr>
              <w:t>为松山湖定制的专属创新产品情况进行评分：是否有为松山湖量身定制专属的创新产品且有产生实质性的贷款投放，如有得2分；有为松山湖量身定制专属创新产品但暂无实质性的贷款投放，得1分。</w:t>
            </w:r>
            <w:r>
              <w:rPr>
                <w:rStyle w:val="7"/>
                <w:color w:val="000000" w:themeColor="text1"/>
                <w:sz w:val="21"/>
                <w:szCs w:val="21"/>
                <w:highlight w:val="none"/>
                <w:lang w:val="en-US" w:eastAsia="zh-CN" w:bidi="ar"/>
                <w14:textFill>
                  <w14:solidFill>
                    <w14:schemeClr w14:val="tx1"/>
                  </w14:solidFill>
                </w14:textFill>
              </w:rPr>
              <w:br w:type="textWrapping"/>
            </w:r>
            <w:r>
              <w:rPr>
                <w:rStyle w:val="7"/>
                <w:color w:val="000000" w:themeColor="text1"/>
                <w:sz w:val="21"/>
                <w:szCs w:val="21"/>
                <w:highlight w:val="none"/>
                <w:lang w:val="en-US" w:eastAsia="zh-CN" w:bidi="ar"/>
                <w14:textFill>
                  <w14:solidFill>
                    <w14:schemeClr w14:val="tx1"/>
                  </w14:solidFill>
                </w14:textFill>
              </w:rPr>
              <w:t>【评审依据：银行机构自主创新产品计算截点为开标前一个月的月末，产品发布及贷款投放时间为2025年1月1日至开标前一个月的月末，以参与的银行机构提供的</w:t>
            </w:r>
            <w:r>
              <w:rPr>
                <w:rStyle w:val="8"/>
                <w:color w:val="000000" w:themeColor="text1"/>
                <w:sz w:val="21"/>
                <w:szCs w:val="21"/>
                <w:highlight w:val="none"/>
                <w:lang w:val="en-US" w:eastAsia="zh-CN" w:bidi="ar"/>
                <w14:textFill>
                  <w14:solidFill>
                    <w14:schemeClr w14:val="tx1"/>
                  </w14:solidFill>
                </w14:textFill>
              </w:rPr>
              <w:t>产品合作协议、贷款合同、放款凭证</w:t>
            </w:r>
            <w:r>
              <w:rPr>
                <w:rStyle w:val="7"/>
                <w:color w:val="000000" w:themeColor="text1"/>
                <w:sz w:val="21"/>
                <w:szCs w:val="21"/>
                <w:highlight w:val="none"/>
                <w:lang w:val="en-US" w:eastAsia="zh-CN" w:bidi="ar"/>
                <w14:textFill>
                  <w14:solidFill>
                    <w14:schemeClr w14:val="tx1"/>
                  </w14:solidFill>
                </w14:textFill>
              </w:rPr>
              <w:t>等书面为准，所提供的资料需加盖</w:t>
            </w:r>
            <w:r>
              <w:rPr>
                <w:rFonts w:hint="eastAsia"/>
                <w:color w:val="000000" w:themeColor="text1"/>
                <w:sz w:val="21"/>
                <w:szCs w:val="21"/>
                <w:highlight w:val="none"/>
                <w14:textFill>
                  <w14:solidFill>
                    <w14:schemeClr w14:val="tx1"/>
                  </w14:solidFill>
                </w14:textFill>
              </w:rPr>
              <w:t>公章</w:t>
            </w:r>
            <w:r>
              <w:rPr>
                <w:rStyle w:val="7"/>
                <w:color w:val="000000" w:themeColor="text1"/>
                <w:sz w:val="21"/>
                <w:szCs w:val="21"/>
                <w:highlight w:val="none"/>
                <w:lang w:val="en-US" w:eastAsia="zh-CN" w:bidi="ar"/>
                <w14:textFill>
                  <w14:solidFill>
                    <w14:schemeClr w14:val="tx1"/>
                  </w14:solidFill>
                </w14:textFill>
              </w:rPr>
              <w:t>。】</w:t>
            </w:r>
          </w:p>
        </w:tc>
      </w:tr>
      <w:tr w14:paraId="3A6A3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66B7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bookmarkStart w:id="4" w:name="OLE_LINK9" w:colFirst="0" w:colLast="3"/>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B96E3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与区属国企合作规模</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0C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DD9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以投标人</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松山湖支行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为松山湖高新区园属国企提供的各类投融资规模（银行贷款或者通过其他融资手段提供的融资），由高到底排序，第一名得5分，从第二名开始一次递减0.25分，减至0分为止。</w:t>
            </w:r>
          </w:p>
        </w:tc>
      </w:tr>
      <w:tr w14:paraId="40DF7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3"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0553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6E45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2F8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5E7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园属企业名单以东莞市松山湖财政国资金融局（国资中心）提供的书面文件为准，投标人提供贷款合同/放款凭证/借据等作为佐证材料，贷款发放时间为2025年7月1日至2026年6月30日期间，未提供不得分。】</w:t>
            </w:r>
          </w:p>
        </w:tc>
      </w:tr>
      <w:bookmarkEnd w:id="4"/>
      <w:tr w14:paraId="72132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8"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59E4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363" w:type="dxa"/>
            <w:vMerge w:val="restart"/>
            <w:tcBorders>
              <w:top w:val="nil"/>
              <w:left w:val="single" w:color="000000" w:sz="4" w:space="0"/>
              <w:bottom w:val="single" w:color="000000" w:sz="4" w:space="0"/>
              <w:right w:val="single" w:color="000000" w:sz="4" w:space="0"/>
            </w:tcBorders>
            <w:shd w:val="clear" w:color="auto" w:fill="auto"/>
            <w:vAlign w:val="center"/>
          </w:tcPr>
          <w:p w14:paraId="1EDF285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园区营业网点的数量</w:t>
            </w:r>
          </w:p>
        </w:tc>
        <w:tc>
          <w:tcPr>
            <w:tcW w:w="570" w:type="dxa"/>
            <w:vMerge w:val="restart"/>
            <w:tcBorders>
              <w:top w:val="nil"/>
              <w:left w:val="single" w:color="000000" w:sz="4" w:space="0"/>
              <w:bottom w:val="single" w:color="000000" w:sz="4" w:space="0"/>
              <w:right w:val="single" w:color="000000" w:sz="4" w:space="0"/>
            </w:tcBorders>
            <w:shd w:val="clear" w:color="auto" w:fill="auto"/>
            <w:noWrap/>
            <w:vAlign w:val="center"/>
          </w:tcPr>
          <w:p w14:paraId="2EADFF4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CB26">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投标人在松山湖区域内每拥有1个营业机构网点，计0.5分，本项最高得分为2分。</w:t>
            </w:r>
          </w:p>
        </w:tc>
      </w:tr>
      <w:tr w14:paraId="21A00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DFFC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nil"/>
              <w:left w:val="single" w:color="000000" w:sz="4" w:space="0"/>
              <w:bottom w:val="single" w:color="000000" w:sz="4" w:space="0"/>
              <w:right w:val="single" w:color="000000" w:sz="4" w:space="0"/>
            </w:tcBorders>
            <w:shd w:val="clear" w:color="auto" w:fill="auto"/>
            <w:vAlign w:val="center"/>
          </w:tcPr>
          <w:p w14:paraId="2F0C24C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nil"/>
              <w:left w:val="single" w:color="000000" w:sz="4" w:space="0"/>
              <w:bottom w:val="single" w:color="000000" w:sz="4" w:space="0"/>
              <w:right w:val="single" w:color="000000" w:sz="4" w:space="0"/>
            </w:tcBorders>
            <w:shd w:val="clear" w:color="auto" w:fill="auto"/>
            <w:noWrap/>
            <w:vAlign w:val="center"/>
          </w:tcPr>
          <w:p w14:paraId="47A89D3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6B5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【评审依据：计算时点截至为提交资料当天，以投标人报送网点详细地址及提供网点门面照片为准。】</w:t>
            </w:r>
          </w:p>
        </w:tc>
      </w:tr>
      <w:tr w14:paraId="2818C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B0D8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363" w:type="dxa"/>
            <w:vMerge w:val="restart"/>
            <w:tcBorders>
              <w:top w:val="nil"/>
              <w:left w:val="single" w:color="000000" w:sz="4" w:space="0"/>
              <w:bottom w:val="single" w:color="000000" w:sz="4" w:space="0"/>
              <w:right w:val="single" w:color="000000" w:sz="4" w:space="0"/>
            </w:tcBorders>
            <w:shd w:val="clear" w:color="auto" w:fill="auto"/>
            <w:vAlign w:val="center"/>
          </w:tcPr>
          <w:p w14:paraId="326B358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对园区税收贡献情况</w:t>
            </w:r>
          </w:p>
        </w:tc>
        <w:tc>
          <w:tcPr>
            <w:tcW w:w="570" w:type="dxa"/>
            <w:vMerge w:val="restart"/>
            <w:tcBorders>
              <w:top w:val="nil"/>
              <w:left w:val="single" w:color="000000" w:sz="4" w:space="0"/>
              <w:bottom w:val="single" w:color="000000" w:sz="4" w:space="0"/>
              <w:right w:val="single" w:color="000000" w:sz="4" w:space="0"/>
            </w:tcBorders>
            <w:shd w:val="clear" w:color="auto" w:fill="auto"/>
            <w:noWrap/>
            <w:vAlign w:val="center"/>
          </w:tcPr>
          <w:p w14:paraId="23237A9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3231">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根据银行上年在松山湖高新区的纳税总量进行评分，如纳税收入大于100万元（含），得3分；纳税收入介于100万元到10万元，得2分；纳税收入少于10万元，得1分；如无纳税，则0分。</w:t>
            </w:r>
          </w:p>
        </w:tc>
      </w:tr>
      <w:tr w14:paraId="48989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AA7C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nil"/>
              <w:left w:val="single" w:color="000000" w:sz="4" w:space="0"/>
              <w:bottom w:val="single" w:color="000000" w:sz="4" w:space="0"/>
              <w:right w:val="single" w:color="000000" w:sz="4" w:space="0"/>
            </w:tcBorders>
            <w:shd w:val="clear" w:color="auto" w:fill="auto"/>
            <w:vAlign w:val="center"/>
          </w:tcPr>
          <w:p w14:paraId="1878E16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3A8F8D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E617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【评审依据：投标人提供佐证资料（完税证明）】</w:t>
            </w:r>
          </w:p>
        </w:tc>
      </w:tr>
      <w:tr w14:paraId="247FB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48C831">
            <w:pPr>
              <w:keepNext w:val="0"/>
              <w:keepLines w:val="0"/>
              <w:widowControl/>
              <w:suppressLineNumbers w:val="0"/>
              <w:jc w:val="center"/>
              <w:textAlignment w:val="center"/>
              <w:rPr>
                <w:rFonts w:hint="eastAsia" w:ascii="黑体" w:hAnsi="宋体" w:eastAsia="黑体" w:cs="黑体"/>
                <w:b/>
                <w:bCs/>
                <w:i w:val="0"/>
                <w:iCs w:val="0"/>
                <w:color w:val="000000" w:themeColor="text1"/>
                <w:sz w:val="21"/>
                <w:szCs w:val="21"/>
                <w:highlight w:val="none"/>
                <w:u w:val="none"/>
                <w14:textFill>
                  <w14:solidFill>
                    <w14:schemeClr w14:val="tx1"/>
                  </w14:solidFill>
                </w14:textFill>
              </w:rPr>
            </w:pPr>
            <w:r>
              <w:rPr>
                <w:rFonts w:hint="eastAsia" w:ascii="黑体" w:hAnsi="宋体" w:eastAsia="黑体" w:cs="黑体"/>
                <w:b/>
                <w:bCs/>
                <w:i w:val="0"/>
                <w:iCs w:val="0"/>
                <w:color w:val="000000" w:themeColor="text1"/>
                <w:kern w:val="0"/>
                <w:sz w:val="21"/>
                <w:szCs w:val="21"/>
                <w:highlight w:val="none"/>
                <w:u w:val="none"/>
                <w:lang w:val="en-US" w:eastAsia="zh-CN" w:bidi="ar"/>
                <w14:textFill>
                  <w14:solidFill>
                    <w14:schemeClr w14:val="tx1"/>
                  </w14:solidFill>
                </w14:textFill>
              </w:rPr>
              <w:t>四、服务水平指标（10分）</w:t>
            </w:r>
          </w:p>
        </w:tc>
      </w:tr>
      <w:tr w14:paraId="60E0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0"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8A61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1BD4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财政增值服务项目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1AF1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77E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1.投标人提供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松山湖管委会</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专项债券增值服务项目：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投标人参与专项债券的前期筛选、项目评估、发行方案设计、发债资金管理</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中的任一项服务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，得1分。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投标人成功发行专项债以及做好发债资金专款专用和信息披露，得2分。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【评审依据：计算时点为2025年7月1日至2026年6月30日，投标人提供相关佐证材料，并加盖公章。】</w:t>
            </w:r>
          </w:p>
        </w:tc>
      </w:tr>
      <w:tr w14:paraId="28796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5F82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A262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FA72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36C5">
            <w:pPr>
              <w:keepNext w:val="0"/>
              <w:keepLines w:val="0"/>
              <w:widowControl/>
              <w:suppressLineNumbers w:val="0"/>
              <w:jc w:val="left"/>
              <w:textAlignment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2.投标人</w:t>
            </w:r>
            <w:r>
              <w:rPr>
                <w:rFonts w:hint="eastAsia"/>
                <w:color w:val="000000" w:themeColor="text1"/>
                <w:sz w:val="21"/>
                <w:szCs w:val="21"/>
                <w:highlight w:val="none"/>
                <w:lang w:val="en-US" w:eastAsia="zh-CN"/>
                <w14:textFill>
                  <w14:solidFill>
                    <w14:schemeClr w14:val="tx1"/>
                  </w14:solidFill>
                </w14:textFill>
              </w:rPr>
              <w:t>松山湖支行</w:t>
            </w:r>
            <w:r>
              <w:rPr>
                <w:rFonts w:hint="eastAsia"/>
                <w:color w:val="000000" w:themeColor="text1"/>
                <w:sz w:val="21"/>
                <w:szCs w:val="21"/>
                <w:highlight w:val="none"/>
                <w14:textFill>
                  <w14:solidFill>
                    <w14:schemeClr w14:val="tx1"/>
                  </w14:solidFill>
                </w14:textFill>
              </w:rPr>
              <w:t>对松山湖高新区2025年重大建设项目、松山湖2025年重大预备项目提供各类金融服务（银行贷款或者通过其他融资手段提供的融资），项目大于3个（含）以上，得2分；小于3个以下，得1分；无项目零分。</w:t>
            </w:r>
          </w:p>
          <w:p w14:paraId="5054115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评审依据：2025年重大建设项目、松山湖2025年重大预备项目清单请查询松山湖管委会网页“http://ssl.dg.gov.cn/zfxxgkml/ywgz/zdxmjs/content/post_4443046.html”。计算时点为2025年1月1日至2026年6月30日，投标人提供相关佐证材料，并加盖公章。】</w:t>
            </w:r>
          </w:p>
        </w:tc>
      </w:tr>
      <w:tr w14:paraId="19B98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AFF2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493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服务质量</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A81F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1C0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根据投标人提供服务内容方案进行综合评审：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优：信息反馈质量高，速度快、人员专业能力强，数量充足、沟通能力强，业务便捷，应急、协调处理服务处理质量高。服务方案完整合理，可行性强，得5分；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良：信息反馈质量较高，速度较快、人员专业能力较强，数量较充足、沟通能力较强，业务较便捷，应急、协调处理服务处理质量较高。服务方案完整较合理，可行性较强，得3分；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中：信息反馈质量一般，速度一般、人员专业能力一般，数量一般、沟通能力一般，业务便捷一般，应急、协调处理服务处理质量一般。服务方案完整一般，可行性一般，得1分；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差：未提供对应方案不得分。</w:t>
            </w:r>
          </w:p>
        </w:tc>
      </w:tr>
      <w:tr w14:paraId="746C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9966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1816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4ADF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3B24">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【评审依据：投标人提供相关服务的承诺函，并加盖公章。】</w:t>
            </w:r>
          </w:p>
        </w:tc>
      </w:tr>
      <w:tr w14:paraId="384B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84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1EFC5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附加分</w:t>
            </w:r>
          </w:p>
        </w:tc>
      </w:tr>
      <w:tr w14:paraId="1AB7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5D28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1</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B8F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附加分</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DE01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10分</w:t>
            </w: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25C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松山湖</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新设分行并首次以该银行机构名义参与本次投标的+10分；</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松山湖</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新设支行并首次以该银行机构名义参与本次投标的+5分。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同一投标人若同时新设分行和支行，按最高分值计分，不重复累加。</w:t>
            </w:r>
          </w:p>
        </w:tc>
      </w:tr>
      <w:tr w14:paraId="65149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F56AC">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CEE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EAAAE">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p>
        </w:tc>
        <w:tc>
          <w:tcPr>
            <w:tcW w:w="5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5FFF">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计算时点为2025年1月1日至2026年6月30日，以参与的银行机构报送金融许可证或营业执照复印件（加盖公章）；且新设分行和支行的详细地址及提供的门面照片为准</w:t>
            </w:r>
          </w:p>
        </w:tc>
      </w:tr>
      <w:bookmarkEnd w:id="2"/>
    </w:tbl>
    <w:p w14:paraId="36378C94">
      <w:pPr>
        <w:rPr>
          <w:rFonts w:hint="eastAsia" w:ascii="黑体" w:hAnsi="黑体" w:eastAsia="黑体"/>
          <w:b/>
          <w:bCs/>
          <w:color w:val="auto"/>
          <w:szCs w:val="21"/>
          <w:highlight w:val="none"/>
        </w:rPr>
      </w:pPr>
    </w:p>
    <w:p w14:paraId="020F2306">
      <w:pPr>
        <w:rPr>
          <w:rFonts w:ascii="黑体" w:hAnsi="黑体" w:eastAsia="黑体"/>
          <w:b/>
          <w:bCs/>
          <w:color w:val="auto"/>
          <w:sz w:val="21"/>
          <w:szCs w:val="21"/>
          <w:highlight w:val="none"/>
        </w:rPr>
      </w:pPr>
    </w:p>
    <w:p w14:paraId="177A67F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1F58BD91">
      <w:pPr>
        <w:pStyle w:val="2"/>
        <w:snapToGrid w:val="0"/>
      </w:pPr>
      <w:r>
        <w:rPr>
          <w:rStyle w:val="5"/>
        </w:rPr>
        <w:footnoteRef/>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CC430F"/>
    <w:multiLevelType w:val="multilevel"/>
    <w:tmpl w:val="6BCC430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4E4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note text"/>
    <w:basedOn w:val="1"/>
    <w:semiHidden/>
    <w:unhideWhenUsed/>
    <w:qFormat/>
    <w:uiPriority w:val="0"/>
    <w:pPr>
      <w:snapToGrid w:val="0"/>
      <w:jc w:val="left"/>
    </w:pPr>
    <w:rPr>
      <w:sz w:val="18"/>
    </w:rPr>
  </w:style>
  <w:style w:type="character" w:styleId="5">
    <w:name w:val="footnote reference"/>
    <w:basedOn w:val="4"/>
    <w:semiHidden/>
    <w:unhideWhenUsed/>
    <w:qFormat/>
    <w:uiPriority w:val="0"/>
    <w:rPr>
      <w:vertAlign w:val="superscript"/>
    </w:rPr>
  </w:style>
  <w:style w:type="paragraph" w:customStyle="1" w:styleId="6">
    <w:name w:val="列表段落1"/>
    <w:basedOn w:val="1"/>
    <w:qFormat/>
    <w:uiPriority w:val="34"/>
    <w:pPr>
      <w:ind w:firstLine="420" w:firstLineChars="200"/>
    </w:pPr>
  </w:style>
  <w:style w:type="character" w:customStyle="1" w:styleId="7">
    <w:name w:val="font21"/>
    <w:basedOn w:val="4"/>
    <w:qFormat/>
    <w:uiPriority w:val="0"/>
    <w:rPr>
      <w:rFonts w:hint="eastAsia" w:ascii="宋体" w:hAnsi="宋体" w:eastAsia="宋体" w:cs="宋体"/>
      <w:color w:val="000000"/>
      <w:sz w:val="36"/>
      <w:szCs w:val="36"/>
      <w:u w:val="none"/>
    </w:rPr>
  </w:style>
  <w:style w:type="character" w:customStyle="1" w:styleId="8">
    <w:name w:val="font71"/>
    <w:basedOn w:val="4"/>
    <w:qFormat/>
    <w:uiPriority w:val="0"/>
    <w:rPr>
      <w:rFonts w:hint="eastAsia" w:ascii="宋体" w:hAnsi="宋体" w:eastAsia="宋体" w:cs="宋体"/>
      <w:color w:val="FF0000"/>
      <w:sz w:val="36"/>
      <w:szCs w:val="36"/>
      <w:u w:val="none"/>
    </w:rPr>
  </w:style>
  <w:style w:type="character" w:customStyle="1" w:styleId="9">
    <w:name w:val="font81"/>
    <w:basedOn w:val="4"/>
    <w:qFormat/>
    <w:uiPriority w:val="0"/>
    <w:rPr>
      <w:rFonts w:hint="eastAsia" w:ascii="宋体" w:hAnsi="宋体" w:eastAsia="宋体" w:cs="宋体"/>
      <w:b/>
      <w:bCs/>
      <w:color w:val="FF0000"/>
      <w:sz w:val="36"/>
      <w:szCs w:val="3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2026-09-16T08:13:19Z</dcterms:created>
  <dc:creator>user</dc:creator>
  <cp:lastModifiedBy>钟慧敏</cp:lastModifiedBy>
  <dcterms:modified xsi:type="dcterms:W3CDTF">2026-09-16T08:13:40Z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0C9B3A837E1C4C708DA452BEBD138E6E_12</vt:lpwstr>
  </property>
</Properties>
</file>