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20" w:firstLineChars="100"/>
        <w:jc w:val="left"/>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pPr>
        <w:pStyle w:val="2"/>
        <w:rPr>
          <w:rFonts w:hint="default"/>
          <w:color w:val="auto"/>
          <w:lang w:val="en-US" w:eastAsia="zh-CN"/>
        </w:rPr>
      </w:pPr>
    </w:p>
    <w:p>
      <w:pPr>
        <w:jc w:val="center"/>
        <w:rPr>
          <w:rFonts w:hint="eastAsia"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东莞松山湖科技赋能产业高质量发展实施办法政策</w:t>
      </w:r>
      <w:r>
        <w:rPr>
          <w:rFonts w:hint="eastAsia" w:ascii="Times New Roman" w:hAnsi="Times New Roman" w:eastAsia="方正小标宋简体" w:cs="Times New Roman"/>
          <w:color w:val="auto"/>
          <w:sz w:val="44"/>
          <w:szCs w:val="44"/>
          <w:lang w:val="en-US" w:eastAsia="zh-CN"/>
        </w:rPr>
        <w:t>中期</w:t>
      </w:r>
      <w:r>
        <w:rPr>
          <w:rFonts w:hint="default" w:ascii="Times New Roman" w:hAnsi="Times New Roman" w:eastAsia="方正小标宋简体" w:cs="Times New Roman"/>
          <w:color w:val="auto"/>
          <w:sz w:val="44"/>
          <w:szCs w:val="44"/>
        </w:rPr>
        <w:t>绩效评价</w:t>
      </w:r>
      <w:r>
        <w:rPr>
          <w:rFonts w:hint="eastAsia" w:ascii="Times New Roman" w:hAnsi="Times New Roman" w:eastAsia="方正小标宋简体" w:cs="Times New Roman"/>
          <w:color w:val="auto"/>
          <w:sz w:val="44"/>
          <w:szCs w:val="44"/>
          <w:lang w:val="en-US" w:eastAsia="zh-CN"/>
        </w:rPr>
        <w:t>报告</w:t>
      </w:r>
    </w:p>
    <w:p>
      <w:pPr>
        <w:jc w:val="center"/>
        <w:rPr>
          <w:rFonts w:hint="eastAsia" w:ascii="Times New Roman" w:hAnsi="Times New Roman" w:eastAsia="方正小标宋简体" w:cs="Times New Roman"/>
          <w:color w:val="auto"/>
          <w:sz w:val="44"/>
          <w:szCs w:val="44"/>
          <w:lang w:val="en-US" w:eastAsia="zh-CN"/>
        </w:rPr>
      </w:pPr>
    </w:p>
    <w:p>
      <w:pPr>
        <w:jc w:val="center"/>
        <w:rPr>
          <w:rFonts w:hint="eastAsia" w:ascii="Times New Roman" w:hAnsi="Times New Roman" w:eastAsia="方正小标宋简体" w:cs="Times New Roman"/>
          <w:color w:val="auto"/>
          <w:sz w:val="44"/>
          <w:szCs w:val="44"/>
          <w:lang w:val="en-US" w:eastAsia="zh-CN"/>
        </w:rPr>
      </w:pPr>
    </w:p>
    <w:p>
      <w:pPr>
        <w:jc w:val="center"/>
        <w:rPr>
          <w:rFonts w:hint="eastAsia" w:ascii="Times New Roman" w:hAnsi="Times New Roman" w:eastAsia="方正小标宋简体" w:cs="Times New Roman"/>
          <w:color w:val="auto"/>
          <w:sz w:val="44"/>
          <w:szCs w:val="44"/>
          <w:lang w:val="en-US" w:eastAsia="zh-CN"/>
        </w:rPr>
      </w:pPr>
    </w:p>
    <w:p>
      <w:pPr>
        <w:jc w:val="center"/>
        <w:rPr>
          <w:rFonts w:hint="eastAsia" w:ascii="Times New Roman" w:hAnsi="Times New Roman" w:eastAsia="方正小标宋简体" w:cs="Times New Roman"/>
          <w:color w:val="auto"/>
          <w:sz w:val="44"/>
          <w:szCs w:val="44"/>
          <w:lang w:val="en-US" w:eastAsia="zh-CN"/>
        </w:rPr>
      </w:pPr>
    </w:p>
    <w:p>
      <w:pPr>
        <w:jc w:val="center"/>
        <w:rPr>
          <w:rFonts w:hint="eastAsia" w:ascii="Times New Roman" w:hAnsi="Times New Roman" w:eastAsia="方正小标宋简体" w:cs="Times New Roman"/>
          <w:color w:val="auto"/>
          <w:sz w:val="44"/>
          <w:szCs w:val="44"/>
          <w:lang w:val="en-US" w:eastAsia="zh-CN"/>
        </w:rPr>
      </w:pPr>
    </w:p>
    <w:p>
      <w:pPr>
        <w:jc w:val="center"/>
        <w:rPr>
          <w:rFonts w:hint="eastAsia" w:ascii="Times New Roman" w:hAnsi="Times New Roman" w:eastAsia="方正小标宋简体" w:cs="Times New Roman"/>
          <w:color w:val="auto"/>
          <w:sz w:val="44"/>
          <w:szCs w:val="44"/>
          <w:lang w:val="en-US" w:eastAsia="zh-CN"/>
        </w:rPr>
      </w:pPr>
    </w:p>
    <w:p>
      <w:pPr>
        <w:jc w:val="center"/>
        <w:rPr>
          <w:rFonts w:hint="eastAsia" w:ascii="Times New Roman" w:hAnsi="Times New Roman" w:eastAsia="方正小标宋简体" w:cs="Times New Roman"/>
          <w:color w:val="auto"/>
          <w:sz w:val="44"/>
          <w:szCs w:val="44"/>
          <w:lang w:val="en-US" w:eastAsia="zh-CN"/>
        </w:rPr>
      </w:pPr>
    </w:p>
    <w:p>
      <w:pPr>
        <w:jc w:val="center"/>
        <w:rPr>
          <w:rFonts w:hint="eastAsia" w:ascii="Times New Roman" w:hAnsi="Times New Roman" w:eastAsia="方正小标宋简体" w:cs="Times New Roman"/>
          <w:color w:val="auto"/>
          <w:sz w:val="44"/>
          <w:szCs w:val="44"/>
          <w:lang w:val="en-US" w:eastAsia="zh-CN"/>
        </w:rPr>
      </w:pPr>
    </w:p>
    <w:p>
      <w:pPr>
        <w:jc w:val="center"/>
        <w:rPr>
          <w:rFonts w:hint="eastAsia" w:ascii="Times New Roman" w:hAnsi="Times New Roman" w:eastAsia="方正小标宋简体" w:cs="Times New Roman"/>
          <w:color w:val="auto"/>
          <w:sz w:val="44"/>
          <w:szCs w:val="44"/>
          <w:lang w:val="en-US" w:eastAsia="zh-CN"/>
        </w:rPr>
      </w:pPr>
    </w:p>
    <w:p>
      <w:pPr>
        <w:jc w:val="center"/>
        <w:rPr>
          <w:rFonts w:hint="eastAsia" w:ascii="Times New Roman" w:hAnsi="Times New Roman" w:eastAsia="方正小标宋简体" w:cs="Times New Roman"/>
          <w:color w:val="auto"/>
          <w:sz w:val="44"/>
          <w:szCs w:val="44"/>
          <w:lang w:val="en-US" w:eastAsia="zh-CN"/>
        </w:rPr>
      </w:pPr>
    </w:p>
    <w:p>
      <w:pPr>
        <w:pStyle w:val="2"/>
        <w:rPr>
          <w:rFonts w:hint="eastAsia" w:ascii="Times New Roman" w:hAnsi="Times New Roman" w:eastAsia="方正小标宋简体" w:cs="Times New Roman"/>
          <w:color w:val="auto"/>
          <w:sz w:val="44"/>
          <w:szCs w:val="44"/>
          <w:lang w:val="en-US" w:eastAsia="zh-CN"/>
        </w:rPr>
      </w:pPr>
    </w:p>
    <w:p>
      <w:pPr>
        <w:pStyle w:val="2"/>
        <w:rPr>
          <w:rFonts w:hint="eastAsia" w:ascii="Times New Roman" w:hAnsi="Times New Roman" w:eastAsia="方正小标宋简体" w:cs="Times New Roman"/>
          <w:color w:val="auto"/>
          <w:sz w:val="44"/>
          <w:szCs w:val="44"/>
          <w:lang w:val="en-US" w:eastAsia="zh-CN"/>
        </w:rPr>
      </w:pPr>
    </w:p>
    <w:p>
      <w:pPr>
        <w:pStyle w:val="2"/>
        <w:rPr>
          <w:rFonts w:hint="eastAsia" w:ascii="Times New Roman" w:hAnsi="Times New Roman" w:eastAsia="方正小标宋简体" w:cs="Times New Roman"/>
          <w:color w:val="auto"/>
          <w:sz w:val="44"/>
          <w:szCs w:val="44"/>
          <w:lang w:val="en-US" w:eastAsia="zh-CN"/>
        </w:rPr>
      </w:pPr>
    </w:p>
    <w:p>
      <w:pPr>
        <w:pStyle w:val="17"/>
        <w:bidi w:val="0"/>
        <w:rPr>
          <w:rFonts w:hint="eastAsia"/>
          <w:color w:val="auto"/>
          <w:lang w:val="en-US" w:eastAsia="zh-CN"/>
        </w:rPr>
        <w:sectPr>
          <w:pgSz w:w="11906" w:h="16838"/>
          <w:pgMar w:top="2041" w:right="1417" w:bottom="1417" w:left="1531" w:header="851" w:footer="992" w:gutter="0"/>
          <w:cols w:space="425" w:num="1"/>
          <w:docGrid w:type="lines" w:linePitch="312" w:charSpace="0"/>
        </w:sectPr>
      </w:pPr>
    </w:p>
    <w:p>
      <w:pPr>
        <w:pStyle w:val="1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eastAsia="方正小标宋简体" w:cs="Times New Roman"/>
          <w:color w:val="auto"/>
          <w:kern w:val="2"/>
          <w:sz w:val="44"/>
          <w:szCs w:val="44"/>
          <w:highlight w:val="none"/>
          <w:lang w:val="en-US" w:eastAsia="zh-CN" w:bidi="ar-SA"/>
        </w:rPr>
      </w:pPr>
      <w:bookmarkStart w:id="0" w:name="_Toc29428"/>
      <w:r>
        <w:rPr>
          <w:rFonts w:hint="eastAsia" w:eastAsia="方正小标宋简体" w:cs="Times New Roman"/>
          <w:color w:val="auto"/>
          <w:kern w:val="2"/>
          <w:sz w:val="44"/>
          <w:szCs w:val="44"/>
          <w:highlight w:val="none"/>
          <w:lang w:val="en-US" w:eastAsia="zh-CN" w:bidi="ar-SA"/>
        </w:rPr>
        <w:t>摘 要</w:t>
      </w:r>
    </w:p>
    <w:p>
      <w:pPr>
        <w:pStyle w:val="17"/>
        <w:keepNext w:val="0"/>
        <w:keepLines w:val="0"/>
        <w:pageBreakBefore w:val="0"/>
        <w:widowControl w:val="0"/>
        <w:kinsoku/>
        <w:wordWrap/>
        <w:overflowPunct/>
        <w:topLinePunct w:val="0"/>
        <w:autoSpaceDE/>
        <w:autoSpaceDN/>
        <w:bidi w:val="0"/>
        <w:adjustRightInd/>
        <w:snapToGrid/>
        <w:ind w:firstLineChars="0"/>
        <w:textAlignment w:val="auto"/>
        <w:rPr>
          <w:rFonts w:hint="eastAsia"/>
          <w:color w:val="auto"/>
          <w:lang w:val="en-US" w:eastAsia="zh-CN"/>
        </w:rPr>
      </w:pPr>
    </w:p>
    <w:p>
      <w:pPr>
        <w:pStyle w:val="17"/>
        <w:bidi w:val="0"/>
        <w:rPr>
          <w:rFonts w:hint="eastAsia"/>
          <w:color w:val="auto"/>
          <w:lang w:val="en-US" w:eastAsia="zh-CN"/>
        </w:rPr>
      </w:pPr>
      <w:r>
        <w:rPr>
          <w:rFonts w:hint="default"/>
          <w:color w:val="auto"/>
          <w:lang w:val="en-US" w:eastAsia="zh-CN"/>
        </w:rPr>
        <w:t>为贯彻落实《中共中央 国务院关于全面实施预算绩效管理的意见》（财预〔2018〕167号）、《中共广东省委广东省人民政府关于全面实施预算绩效管理的若干意见》（粤发〔2019〕5号）、《东莞市人民政府办公室关于印发〈关于全面实施预算绩效管理的意见〉的通知》（东府办〔2019〕51号）相关要求，切实提高财政资金使用效益</w:t>
      </w:r>
      <w:r>
        <w:rPr>
          <w:rFonts w:hint="eastAsia"/>
          <w:color w:val="auto"/>
          <w:lang w:val="en-US" w:eastAsia="zh-CN"/>
        </w:rPr>
        <w:t>，</w:t>
      </w:r>
      <w:r>
        <w:rPr>
          <w:rFonts w:hint="default"/>
          <w:color w:val="auto"/>
          <w:lang w:val="en-US" w:eastAsia="zh-CN"/>
        </w:rPr>
        <w:t>东莞松山湖高新技术产业开发区管理委员会财政国资金融局（以下简称</w:t>
      </w:r>
      <w:r>
        <w:rPr>
          <w:rFonts w:hint="eastAsia"/>
          <w:color w:val="auto"/>
          <w:lang w:val="en-US" w:eastAsia="zh-CN"/>
        </w:rPr>
        <w:t>松山湖财金局</w:t>
      </w:r>
      <w:r>
        <w:rPr>
          <w:rFonts w:hint="default"/>
          <w:color w:val="auto"/>
          <w:lang w:val="en-US" w:eastAsia="zh-CN"/>
        </w:rPr>
        <w:t>）组织并委托第三方机构（广东三胜管理顾问有限公司，以下简称评价小组），对东莞松山湖高新技术产业开发区管理委员会科技创新局（以下简称松山湖科技创新局）的东莞松山湖科技赋能产业高质量发展实施办法政策执行情况开展中期绩效评价</w:t>
      </w:r>
      <w:r>
        <w:rPr>
          <w:rFonts w:hint="eastAsia"/>
          <w:color w:val="auto"/>
          <w:lang w:val="en-US" w:eastAsia="zh-CN"/>
        </w:rPr>
        <w:t>，本次绩效评价基准日为2026年6月30日。</w:t>
      </w:r>
    </w:p>
    <w:p>
      <w:pPr>
        <w:pStyle w:val="17"/>
        <w:bidi w:val="0"/>
        <w:rPr>
          <w:rFonts w:hint="default"/>
          <w:b w:val="0"/>
          <w:bCs w:val="0"/>
          <w:color w:val="auto"/>
          <w:highlight w:val="none"/>
          <w:lang w:val="en-US" w:eastAsia="zh-CN"/>
        </w:rPr>
        <w:sectPr>
          <w:pgSz w:w="11906" w:h="16838"/>
          <w:pgMar w:top="2041" w:right="1417" w:bottom="1417" w:left="1531" w:header="851" w:footer="992" w:gutter="0"/>
          <w:cols w:space="425" w:num="1"/>
          <w:docGrid w:type="lines" w:linePitch="312" w:charSpace="0"/>
        </w:sectPr>
      </w:pPr>
      <w:r>
        <w:rPr>
          <w:rFonts w:hint="eastAsia"/>
          <w:color w:val="auto"/>
          <w:lang w:val="en-US" w:eastAsia="zh-CN"/>
        </w:rPr>
        <w:t>2026年5-8月期间，评价小组结合书面评审和现场评价情况，综合评定：2025年9月至2026年6月东莞松山湖科技赋能产业</w:t>
      </w:r>
      <w:r>
        <w:rPr>
          <w:rFonts w:hint="eastAsia"/>
          <w:color w:val="auto"/>
          <w:highlight w:val="none"/>
          <w:lang w:val="en-US" w:eastAsia="zh-CN"/>
        </w:rPr>
        <w:t>高质量发展实施办法政策实施情况绩效得分85.77分，等级为“良”。经综合分析，</w:t>
      </w:r>
      <w:r>
        <w:rPr>
          <w:rFonts w:hint="default"/>
          <w:color w:val="auto"/>
          <w:highlight w:val="none"/>
          <w:lang w:val="en-US" w:eastAsia="zh-CN"/>
        </w:rPr>
        <w:t>政策出台后，对提升本地区科技创新能力，促进科技成果转化，提升科技服务能力等方面具备一定成效，但在部分政策措施制定、组织实施、绩效管理等方面还存在优化提升空间</w:t>
      </w:r>
      <w:r>
        <w:rPr>
          <w:rFonts w:hint="eastAsia"/>
          <w:color w:val="auto"/>
          <w:highlight w:val="none"/>
          <w:lang w:val="en-US" w:eastAsia="zh-CN"/>
        </w:rPr>
        <w:t>，具体存在问题如下：</w:t>
      </w:r>
      <w:r>
        <w:rPr>
          <w:rFonts w:hint="eastAsia"/>
          <w:b/>
          <w:bCs/>
          <w:color w:val="auto"/>
          <w:highlight w:val="none"/>
          <w:lang w:val="en-US" w:eastAsia="zh-CN"/>
        </w:rPr>
        <w:t>一是</w:t>
      </w:r>
      <w:r>
        <w:rPr>
          <w:rFonts w:hint="eastAsia"/>
          <w:b w:val="0"/>
          <w:bCs w:val="0"/>
          <w:color w:val="auto"/>
          <w:highlight w:val="none"/>
          <w:lang w:val="en-US" w:eastAsia="zh-CN"/>
        </w:rPr>
        <w:t>前期对企业需求的调研不足，政策实施成效未达预期；</w:t>
      </w:r>
      <w:r>
        <w:rPr>
          <w:rFonts w:hint="eastAsia"/>
          <w:b/>
          <w:bCs/>
          <w:color w:val="auto"/>
          <w:highlight w:val="none"/>
          <w:lang w:val="en-US" w:eastAsia="zh-CN"/>
        </w:rPr>
        <w:t>二是</w:t>
      </w:r>
      <w:r>
        <w:rPr>
          <w:rFonts w:hint="eastAsia"/>
          <w:b w:val="0"/>
          <w:bCs w:val="0"/>
          <w:color w:val="auto"/>
          <w:highlight w:val="none"/>
          <w:lang w:val="en-US" w:eastAsia="zh-CN"/>
        </w:rPr>
        <w:t>部分政策措施内容有待优化，评审标准全面性不足；</w:t>
      </w:r>
      <w:r>
        <w:rPr>
          <w:rFonts w:hint="eastAsia"/>
          <w:b/>
          <w:bCs/>
          <w:color w:val="auto"/>
          <w:highlight w:val="none"/>
          <w:lang w:val="en-US" w:eastAsia="zh-CN"/>
        </w:rPr>
        <w:t>三是</w:t>
      </w:r>
      <w:r>
        <w:rPr>
          <w:rFonts w:hint="eastAsia"/>
          <w:b w:val="0"/>
          <w:bCs w:val="0"/>
          <w:color w:val="auto"/>
          <w:highlight w:val="none"/>
          <w:lang w:val="en-US" w:eastAsia="zh-CN"/>
        </w:rPr>
        <w:t>绩效指标设置不够全面，目标值设定科学性不足。针对上述问题，评价小组提出以下改进建议供参考：</w:t>
      </w:r>
      <w:r>
        <w:rPr>
          <w:rFonts w:hint="eastAsia"/>
          <w:b/>
          <w:bCs/>
          <w:color w:val="auto"/>
          <w:highlight w:val="none"/>
          <w:lang w:val="en-US" w:eastAsia="zh-CN"/>
        </w:rPr>
        <w:t>一是</w:t>
      </w:r>
      <w:r>
        <w:rPr>
          <w:rFonts w:hint="eastAsia"/>
          <w:b w:val="0"/>
          <w:bCs w:val="0"/>
          <w:color w:val="auto"/>
          <w:highlight w:val="none"/>
          <w:lang w:val="en-US" w:eastAsia="zh-CN"/>
        </w:rPr>
        <w:t>强化前期调研论证，提升政策资金投向精准性；</w:t>
      </w:r>
      <w:r>
        <w:rPr>
          <w:rFonts w:hint="eastAsia"/>
          <w:b/>
          <w:bCs/>
          <w:color w:val="auto"/>
          <w:highlight w:val="none"/>
          <w:lang w:val="en-US" w:eastAsia="zh-CN"/>
        </w:rPr>
        <w:t>二是</w:t>
      </w:r>
      <w:r>
        <w:rPr>
          <w:rFonts w:hint="eastAsia"/>
          <w:b w:val="0"/>
          <w:bCs w:val="0"/>
          <w:color w:val="auto"/>
          <w:highlight w:val="none"/>
          <w:lang w:val="en-US" w:eastAsia="zh-CN"/>
        </w:rPr>
        <w:t>优化扶持导向与资源配置，提升政策精准赋能质效；</w:t>
      </w:r>
      <w:r>
        <w:rPr>
          <w:rFonts w:hint="eastAsia"/>
          <w:b/>
          <w:bCs/>
          <w:color w:val="auto"/>
          <w:highlight w:val="none"/>
          <w:lang w:val="en-US" w:eastAsia="zh-CN"/>
        </w:rPr>
        <w:t>三是</w:t>
      </w:r>
      <w:r>
        <w:rPr>
          <w:rFonts w:hint="eastAsia"/>
          <w:b w:val="0"/>
          <w:bCs w:val="0"/>
          <w:color w:val="auto"/>
          <w:highlight w:val="none"/>
          <w:lang w:val="en-US" w:eastAsia="zh-CN"/>
        </w:rPr>
        <w:t>强化预算绩效管理意识，提升绩效目标设置质量。</w:t>
      </w:r>
    </w:p>
    <w:p>
      <w:pPr>
        <w:pStyle w:val="15"/>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目</w:t>
      </w:r>
      <w:r>
        <w:rPr>
          <w:rFonts w:hint="eastAsia" w:eastAsia="方正小标宋简体" w:cs="Times New Roman"/>
          <w:color w:val="auto"/>
          <w:kern w:val="2"/>
          <w:sz w:val="44"/>
          <w:szCs w:val="44"/>
          <w:highlight w:val="none"/>
          <w:lang w:val="en-US" w:eastAsia="zh-CN" w:bidi="ar-SA"/>
        </w:rPr>
        <w:t xml:space="preserve"> </w:t>
      </w:r>
      <w:r>
        <w:rPr>
          <w:rFonts w:hint="eastAsia" w:ascii="Times New Roman" w:hAnsi="Times New Roman" w:eastAsia="方正小标宋简体" w:cs="Times New Roman"/>
          <w:color w:val="auto"/>
          <w:kern w:val="2"/>
          <w:sz w:val="44"/>
          <w:szCs w:val="44"/>
          <w:highlight w:val="none"/>
          <w:lang w:val="en-US" w:eastAsia="zh-CN" w:bidi="ar-SA"/>
        </w:rPr>
        <w:t>录</w:t>
      </w:r>
      <w:bookmarkEnd w:id="0"/>
    </w:p>
    <w:p>
      <w:pPr>
        <w:pStyle w:val="7"/>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TOC \o "1-2" \h \u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b/>
          <w:bCs/>
          <w:color w:val="auto"/>
          <w:sz w:val="32"/>
          <w:szCs w:val="32"/>
          <w:highlight w:val="none"/>
          <w:lang w:val="en-US" w:eastAsia="zh-CN"/>
        </w:rPr>
        <w:fldChar w:fldCharType="begin"/>
      </w:r>
      <w:r>
        <w:rPr>
          <w:rFonts w:hint="default" w:ascii="Times New Roman" w:hAnsi="Times New Roman" w:eastAsia="仿宋_GB2312" w:cs="Times New Roman"/>
          <w:b/>
          <w:bCs/>
          <w:color w:val="auto"/>
          <w:sz w:val="32"/>
          <w:szCs w:val="32"/>
          <w:highlight w:val="none"/>
          <w:lang w:val="en-US" w:eastAsia="zh-CN"/>
        </w:rPr>
        <w:instrText xml:space="preserve"> HYPERLINK \l _Toc15204 </w:instrText>
      </w:r>
      <w:r>
        <w:rPr>
          <w:rFonts w:hint="default" w:ascii="Times New Roman" w:hAnsi="Times New Roman" w:eastAsia="仿宋_GB2312" w:cs="Times New Roman"/>
          <w:b/>
          <w:bCs/>
          <w:color w:val="auto"/>
          <w:sz w:val="32"/>
          <w:szCs w:val="32"/>
          <w:highlight w:val="none"/>
          <w:lang w:val="en-US" w:eastAsia="zh-CN"/>
        </w:rPr>
        <w:fldChar w:fldCharType="separate"/>
      </w:r>
      <w:r>
        <w:rPr>
          <w:rFonts w:hint="default" w:ascii="Times New Roman" w:hAnsi="Times New Roman" w:eastAsia="仿宋_GB2312" w:cs="Times New Roman"/>
          <w:b/>
          <w:bCs/>
          <w:color w:val="auto"/>
          <w:sz w:val="32"/>
          <w:szCs w:val="32"/>
          <w:highlight w:val="none"/>
        </w:rPr>
        <w:t>一、</w:t>
      </w:r>
      <w:r>
        <w:rPr>
          <w:rFonts w:hint="default" w:ascii="Times New Roman" w:hAnsi="Times New Roman" w:eastAsia="仿宋_GB2312" w:cs="Times New Roman"/>
          <w:b/>
          <w:bCs/>
          <w:color w:val="auto"/>
          <w:sz w:val="32"/>
          <w:szCs w:val="32"/>
          <w:highlight w:val="none"/>
          <w:lang w:val="en-US" w:eastAsia="zh-CN"/>
        </w:rPr>
        <w:t>评价政策概况</w:t>
      </w:r>
      <w:r>
        <w:rPr>
          <w:rFonts w:hint="default" w:ascii="Times New Roman" w:hAnsi="Times New Roman" w:eastAsia="仿宋_GB2312" w:cs="Times New Roman"/>
          <w:b/>
          <w:bCs/>
          <w:color w:val="auto"/>
          <w:sz w:val="32"/>
          <w:szCs w:val="32"/>
          <w:highlight w:val="none"/>
        </w:rPr>
        <w:tab/>
      </w:r>
      <w:r>
        <w:rPr>
          <w:rFonts w:hint="default" w:ascii="Times New Roman" w:hAnsi="Times New Roman" w:eastAsia="仿宋_GB2312" w:cs="Times New Roman"/>
          <w:b/>
          <w:bCs/>
          <w:color w:val="auto"/>
          <w:sz w:val="32"/>
          <w:szCs w:val="32"/>
          <w:highlight w:val="none"/>
        </w:rPr>
        <w:fldChar w:fldCharType="begin"/>
      </w:r>
      <w:r>
        <w:rPr>
          <w:rFonts w:hint="default" w:ascii="Times New Roman" w:hAnsi="Times New Roman" w:eastAsia="仿宋_GB2312" w:cs="Times New Roman"/>
          <w:b/>
          <w:bCs/>
          <w:color w:val="auto"/>
          <w:sz w:val="32"/>
          <w:szCs w:val="32"/>
          <w:highlight w:val="none"/>
        </w:rPr>
        <w:instrText xml:space="preserve"> PAGEREF _Toc15204 \h </w:instrText>
      </w:r>
      <w:r>
        <w:rPr>
          <w:rFonts w:hint="default" w:ascii="Times New Roman" w:hAnsi="Times New Roman" w:eastAsia="仿宋_GB2312" w:cs="Times New Roman"/>
          <w:b/>
          <w:bCs/>
          <w:color w:val="auto"/>
          <w:sz w:val="32"/>
          <w:szCs w:val="32"/>
          <w:highlight w:val="none"/>
        </w:rPr>
        <w:fldChar w:fldCharType="separate"/>
      </w:r>
      <w:r>
        <w:rPr>
          <w:rFonts w:hint="default" w:ascii="Times New Roman" w:hAnsi="Times New Roman" w:eastAsia="仿宋_GB2312" w:cs="Times New Roman"/>
          <w:b/>
          <w:bCs/>
          <w:color w:val="auto"/>
          <w:sz w:val="32"/>
          <w:szCs w:val="32"/>
          <w:highlight w:val="none"/>
        </w:rPr>
        <w:t>- 1 -</w:t>
      </w:r>
      <w:r>
        <w:rPr>
          <w:rFonts w:hint="default" w:ascii="Times New Roman" w:hAnsi="Times New Roman" w:eastAsia="仿宋_GB2312" w:cs="Times New Roman"/>
          <w:b/>
          <w:bCs/>
          <w:color w:val="auto"/>
          <w:sz w:val="32"/>
          <w:szCs w:val="32"/>
          <w:highlight w:val="none"/>
        </w:rPr>
        <w:fldChar w:fldCharType="end"/>
      </w:r>
      <w:r>
        <w:rPr>
          <w:rFonts w:hint="default" w:ascii="Times New Roman" w:hAnsi="Times New Roman" w:eastAsia="仿宋_GB2312" w:cs="Times New Roman"/>
          <w:b/>
          <w:bCs/>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_Toc4846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（一）政策背景和内容</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_Toc4846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- 1 -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_Toc6318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（二）绩效目标概况</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_Toc6318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- 5 -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_Toc17795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（三）资金概况</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_Toc17795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- 6 -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7"/>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fldChar w:fldCharType="begin"/>
      </w:r>
      <w:r>
        <w:rPr>
          <w:rFonts w:hint="default" w:ascii="Times New Roman" w:hAnsi="Times New Roman" w:eastAsia="仿宋_GB2312" w:cs="Times New Roman"/>
          <w:b/>
          <w:bCs/>
          <w:color w:val="auto"/>
          <w:sz w:val="32"/>
          <w:szCs w:val="32"/>
          <w:highlight w:val="none"/>
          <w:lang w:val="en-US" w:eastAsia="zh-CN"/>
        </w:rPr>
        <w:instrText xml:space="preserve"> HYPERLINK \l _Toc6971 </w:instrText>
      </w:r>
      <w:r>
        <w:rPr>
          <w:rFonts w:hint="default" w:ascii="Times New Roman" w:hAnsi="Times New Roman" w:eastAsia="仿宋_GB2312" w:cs="Times New Roman"/>
          <w:b/>
          <w:bCs/>
          <w:color w:val="auto"/>
          <w:sz w:val="32"/>
          <w:szCs w:val="32"/>
          <w:highlight w:val="none"/>
          <w:lang w:val="en-US" w:eastAsia="zh-CN"/>
        </w:rPr>
        <w:fldChar w:fldCharType="separate"/>
      </w:r>
      <w:r>
        <w:rPr>
          <w:rFonts w:hint="default" w:ascii="Times New Roman" w:hAnsi="Times New Roman" w:eastAsia="仿宋_GB2312" w:cs="Times New Roman"/>
          <w:b/>
          <w:bCs/>
          <w:color w:val="auto"/>
          <w:sz w:val="32"/>
          <w:szCs w:val="32"/>
          <w:highlight w:val="none"/>
          <w:lang w:val="en-US" w:eastAsia="zh-CN"/>
        </w:rPr>
        <w:t>二、绩效评价结论</w:t>
      </w:r>
      <w:r>
        <w:rPr>
          <w:rFonts w:hint="default" w:ascii="Times New Roman" w:hAnsi="Times New Roman" w:eastAsia="仿宋_GB2312" w:cs="Times New Roman"/>
          <w:b/>
          <w:bCs/>
          <w:color w:val="auto"/>
          <w:sz w:val="32"/>
          <w:szCs w:val="32"/>
          <w:highlight w:val="none"/>
        </w:rPr>
        <w:tab/>
      </w:r>
      <w:r>
        <w:rPr>
          <w:rFonts w:hint="default" w:ascii="Times New Roman" w:hAnsi="Times New Roman" w:eastAsia="仿宋_GB2312" w:cs="Times New Roman"/>
          <w:b/>
          <w:bCs/>
          <w:color w:val="auto"/>
          <w:sz w:val="32"/>
          <w:szCs w:val="32"/>
          <w:highlight w:val="none"/>
        </w:rPr>
        <w:fldChar w:fldCharType="begin"/>
      </w:r>
      <w:r>
        <w:rPr>
          <w:rFonts w:hint="default" w:ascii="Times New Roman" w:hAnsi="Times New Roman" w:eastAsia="仿宋_GB2312" w:cs="Times New Roman"/>
          <w:b/>
          <w:bCs/>
          <w:color w:val="auto"/>
          <w:sz w:val="32"/>
          <w:szCs w:val="32"/>
          <w:highlight w:val="none"/>
        </w:rPr>
        <w:instrText xml:space="preserve"> PAGEREF _Toc6971 \h </w:instrText>
      </w:r>
      <w:r>
        <w:rPr>
          <w:rFonts w:hint="default" w:ascii="Times New Roman" w:hAnsi="Times New Roman" w:eastAsia="仿宋_GB2312" w:cs="Times New Roman"/>
          <w:b/>
          <w:bCs/>
          <w:color w:val="auto"/>
          <w:sz w:val="32"/>
          <w:szCs w:val="32"/>
          <w:highlight w:val="none"/>
        </w:rPr>
        <w:fldChar w:fldCharType="separate"/>
      </w:r>
      <w:r>
        <w:rPr>
          <w:rFonts w:hint="default" w:ascii="Times New Roman" w:hAnsi="Times New Roman" w:eastAsia="仿宋_GB2312" w:cs="Times New Roman"/>
          <w:b/>
          <w:bCs/>
          <w:color w:val="auto"/>
          <w:sz w:val="32"/>
          <w:szCs w:val="32"/>
          <w:highlight w:val="none"/>
        </w:rPr>
        <w:t>- 8 -</w:t>
      </w:r>
      <w:r>
        <w:rPr>
          <w:rFonts w:hint="default" w:ascii="Times New Roman" w:hAnsi="Times New Roman" w:eastAsia="仿宋_GB2312" w:cs="Times New Roman"/>
          <w:b/>
          <w:bCs/>
          <w:color w:val="auto"/>
          <w:sz w:val="32"/>
          <w:szCs w:val="32"/>
          <w:highlight w:val="none"/>
        </w:rPr>
        <w:fldChar w:fldCharType="end"/>
      </w:r>
      <w:r>
        <w:rPr>
          <w:rFonts w:hint="default" w:ascii="Times New Roman" w:hAnsi="Times New Roman" w:eastAsia="仿宋_GB2312" w:cs="Times New Roman"/>
          <w:b/>
          <w:bCs/>
          <w:color w:val="auto"/>
          <w:sz w:val="32"/>
          <w:szCs w:val="32"/>
          <w:highlight w:val="none"/>
          <w:lang w:val="en-US" w:eastAsia="zh-CN"/>
        </w:rPr>
        <w:fldChar w:fldCharType="end"/>
      </w:r>
    </w:p>
    <w:p>
      <w:pPr>
        <w:pStyle w:val="7"/>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fldChar w:fldCharType="begin"/>
      </w:r>
      <w:r>
        <w:rPr>
          <w:rFonts w:hint="default" w:ascii="Times New Roman" w:hAnsi="Times New Roman" w:eastAsia="仿宋_GB2312" w:cs="Times New Roman"/>
          <w:b/>
          <w:bCs/>
          <w:color w:val="auto"/>
          <w:sz w:val="32"/>
          <w:szCs w:val="32"/>
          <w:highlight w:val="none"/>
          <w:lang w:val="en-US" w:eastAsia="zh-CN"/>
        </w:rPr>
        <w:instrText xml:space="preserve"> HYPERLINK \l _Toc539 </w:instrText>
      </w:r>
      <w:r>
        <w:rPr>
          <w:rFonts w:hint="default" w:ascii="Times New Roman" w:hAnsi="Times New Roman" w:eastAsia="仿宋_GB2312" w:cs="Times New Roman"/>
          <w:b/>
          <w:bCs/>
          <w:color w:val="auto"/>
          <w:sz w:val="32"/>
          <w:szCs w:val="32"/>
          <w:highlight w:val="none"/>
          <w:lang w:val="en-US" w:eastAsia="zh-CN"/>
        </w:rPr>
        <w:fldChar w:fldCharType="separate"/>
      </w:r>
      <w:r>
        <w:rPr>
          <w:rFonts w:hint="default" w:ascii="Times New Roman" w:hAnsi="Times New Roman" w:eastAsia="仿宋_GB2312" w:cs="Times New Roman"/>
          <w:b/>
          <w:bCs/>
          <w:color w:val="auto"/>
          <w:sz w:val="32"/>
          <w:szCs w:val="32"/>
          <w:highlight w:val="none"/>
          <w:lang w:val="en-US" w:eastAsia="zh-CN"/>
        </w:rPr>
        <w:t>三、主要绩效</w:t>
      </w:r>
      <w:r>
        <w:rPr>
          <w:rFonts w:hint="default" w:ascii="Times New Roman" w:hAnsi="Times New Roman" w:eastAsia="仿宋_GB2312" w:cs="Times New Roman"/>
          <w:b/>
          <w:bCs/>
          <w:color w:val="auto"/>
          <w:sz w:val="32"/>
          <w:szCs w:val="32"/>
          <w:highlight w:val="none"/>
        </w:rPr>
        <w:tab/>
      </w:r>
      <w:r>
        <w:rPr>
          <w:rFonts w:hint="default" w:ascii="Times New Roman" w:hAnsi="Times New Roman" w:eastAsia="仿宋_GB2312" w:cs="Times New Roman"/>
          <w:b/>
          <w:bCs/>
          <w:color w:val="auto"/>
          <w:sz w:val="32"/>
          <w:szCs w:val="32"/>
          <w:highlight w:val="none"/>
        </w:rPr>
        <w:fldChar w:fldCharType="begin"/>
      </w:r>
      <w:r>
        <w:rPr>
          <w:rFonts w:hint="default" w:ascii="Times New Roman" w:hAnsi="Times New Roman" w:eastAsia="仿宋_GB2312" w:cs="Times New Roman"/>
          <w:b/>
          <w:bCs/>
          <w:color w:val="auto"/>
          <w:sz w:val="32"/>
          <w:szCs w:val="32"/>
          <w:highlight w:val="none"/>
        </w:rPr>
        <w:instrText xml:space="preserve"> PAGEREF _Toc539 \h </w:instrText>
      </w:r>
      <w:r>
        <w:rPr>
          <w:rFonts w:hint="default" w:ascii="Times New Roman" w:hAnsi="Times New Roman" w:eastAsia="仿宋_GB2312" w:cs="Times New Roman"/>
          <w:b/>
          <w:bCs/>
          <w:color w:val="auto"/>
          <w:sz w:val="32"/>
          <w:szCs w:val="32"/>
          <w:highlight w:val="none"/>
        </w:rPr>
        <w:fldChar w:fldCharType="separate"/>
      </w:r>
      <w:r>
        <w:rPr>
          <w:rFonts w:hint="default" w:ascii="Times New Roman" w:hAnsi="Times New Roman" w:eastAsia="仿宋_GB2312" w:cs="Times New Roman"/>
          <w:b/>
          <w:bCs/>
          <w:color w:val="auto"/>
          <w:sz w:val="32"/>
          <w:szCs w:val="32"/>
          <w:highlight w:val="none"/>
        </w:rPr>
        <w:t>- 9 -</w:t>
      </w:r>
      <w:r>
        <w:rPr>
          <w:rFonts w:hint="default" w:ascii="Times New Roman" w:hAnsi="Times New Roman" w:eastAsia="仿宋_GB2312" w:cs="Times New Roman"/>
          <w:b/>
          <w:bCs/>
          <w:color w:val="auto"/>
          <w:sz w:val="32"/>
          <w:szCs w:val="32"/>
          <w:highlight w:val="none"/>
        </w:rPr>
        <w:fldChar w:fldCharType="end"/>
      </w:r>
      <w:r>
        <w:rPr>
          <w:rFonts w:hint="default" w:ascii="Times New Roman" w:hAnsi="Times New Roman" w:eastAsia="仿宋_GB2312" w:cs="Times New Roman"/>
          <w:b/>
          <w:bCs/>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_Toc24398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（一）实施科技创新激励政策，提升区域创新研发能力</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_Toc24398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- 9 -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_Toc29804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（二）健全科技成果转化机制，提升产业落地赋能效益</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_Toc29804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- 11 -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_Toc18523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（三）完善科技服务体系建设，提升科技综合服务能力</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_Toc18523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- 12 -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7"/>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fldChar w:fldCharType="begin"/>
      </w:r>
      <w:r>
        <w:rPr>
          <w:rFonts w:hint="default" w:ascii="Times New Roman" w:hAnsi="Times New Roman" w:eastAsia="仿宋_GB2312" w:cs="Times New Roman"/>
          <w:b/>
          <w:bCs/>
          <w:color w:val="auto"/>
          <w:sz w:val="32"/>
          <w:szCs w:val="32"/>
          <w:highlight w:val="none"/>
          <w:lang w:val="en-US" w:eastAsia="zh-CN"/>
        </w:rPr>
        <w:instrText xml:space="preserve"> HYPERLINK \l _Toc1635 </w:instrText>
      </w:r>
      <w:r>
        <w:rPr>
          <w:rFonts w:hint="default" w:ascii="Times New Roman" w:hAnsi="Times New Roman" w:eastAsia="仿宋_GB2312" w:cs="Times New Roman"/>
          <w:b/>
          <w:bCs/>
          <w:color w:val="auto"/>
          <w:sz w:val="32"/>
          <w:szCs w:val="32"/>
          <w:highlight w:val="none"/>
          <w:lang w:val="en-US" w:eastAsia="zh-CN"/>
        </w:rPr>
        <w:fldChar w:fldCharType="separate"/>
      </w:r>
      <w:r>
        <w:rPr>
          <w:rFonts w:hint="default" w:ascii="Times New Roman" w:hAnsi="Times New Roman" w:eastAsia="仿宋_GB2312" w:cs="Times New Roman"/>
          <w:b/>
          <w:bCs/>
          <w:color w:val="auto"/>
          <w:sz w:val="32"/>
          <w:szCs w:val="32"/>
          <w:highlight w:val="none"/>
          <w:lang w:val="en-US" w:eastAsia="zh-CN"/>
        </w:rPr>
        <w:t>四、存在的问题</w:t>
      </w:r>
      <w:r>
        <w:rPr>
          <w:rFonts w:hint="default" w:ascii="Times New Roman" w:hAnsi="Times New Roman" w:eastAsia="仿宋_GB2312" w:cs="Times New Roman"/>
          <w:b/>
          <w:bCs/>
          <w:color w:val="auto"/>
          <w:sz w:val="32"/>
          <w:szCs w:val="32"/>
          <w:highlight w:val="none"/>
        </w:rPr>
        <w:tab/>
      </w:r>
      <w:r>
        <w:rPr>
          <w:rFonts w:hint="default" w:ascii="Times New Roman" w:hAnsi="Times New Roman" w:eastAsia="仿宋_GB2312" w:cs="Times New Roman"/>
          <w:b/>
          <w:bCs/>
          <w:color w:val="auto"/>
          <w:sz w:val="32"/>
          <w:szCs w:val="32"/>
          <w:highlight w:val="none"/>
        </w:rPr>
        <w:fldChar w:fldCharType="begin"/>
      </w:r>
      <w:r>
        <w:rPr>
          <w:rFonts w:hint="default" w:ascii="Times New Roman" w:hAnsi="Times New Roman" w:eastAsia="仿宋_GB2312" w:cs="Times New Roman"/>
          <w:b/>
          <w:bCs/>
          <w:color w:val="auto"/>
          <w:sz w:val="32"/>
          <w:szCs w:val="32"/>
          <w:highlight w:val="none"/>
        </w:rPr>
        <w:instrText xml:space="preserve"> PAGEREF _Toc1635 \h </w:instrText>
      </w:r>
      <w:r>
        <w:rPr>
          <w:rFonts w:hint="default" w:ascii="Times New Roman" w:hAnsi="Times New Roman" w:eastAsia="仿宋_GB2312" w:cs="Times New Roman"/>
          <w:b/>
          <w:bCs/>
          <w:color w:val="auto"/>
          <w:sz w:val="32"/>
          <w:szCs w:val="32"/>
          <w:highlight w:val="none"/>
        </w:rPr>
        <w:fldChar w:fldCharType="separate"/>
      </w:r>
      <w:r>
        <w:rPr>
          <w:rFonts w:hint="default" w:ascii="Times New Roman" w:hAnsi="Times New Roman" w:eastAsia="仿宋_GB2312" w:cs="Times New Roman"/>
          <w:b/>
          <w:bCs/>
          <w:color w:val="auto"/>
          <w:sz w:val="32"/>
          <w:szCs w:val="32"/>
          <w:highlight w:val="none"/>
        </w:rPr>
        <w:t>- 14 -</w:t>
      </w:r>
      <w:r>
        <w:rPr>
          <w:rFonts w:hint="default" w:ascii="Times New Roman" w:hAnsi="Times New Roman" w:eastAsia="仿宋_GB2312" w:cs="Times New Roman"/>
          <w:b/>
          <w:bCs/>
          <w:color w:val="auto"/>
          <w:sz w:val="32"/>
          <w:szCs w:val="32"/>
          <w:highlight w:val="none"/>
        </w:rPr>
        <w:fldChar w:fldCharType="end"/>
      </w:r>
      <w:r>
        <w:rPr>
          <w:rFonts w:hint="default" w:ascii="Times New Roman" w:hAnsi="Times New Roman" w:eastAsia="仿宋_GB2312" w:cs="Times New Roman"/>
          <w:b/>
          <w:bCs/>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_Toc960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（一）前期</w:t>
      </w:r>
      <w:r>
        <w:rPr>
          <w:rFonts w:hint="eastAsia" w:ascii="Times New Roman" w:hAnsi="Times New Roman" w:eastAsia="仿宋_GB2312" w:cs="Times New Roman"/>
          <w:color w:val="auto"/>
          <w:sz w:val="32"/>
          <w:szCs w:val="32"/>
          <w:highlight w:val="none"/>
          <w:lang w:val="en-US" w:eastAsia="zh-CN"/>
        </w:rPr>
        <w:t>对企业的</w:t>
      </w:r>
      <w:r>
        <w:rPr>
          <w:rFonts w:hint="default" w:ascii="Times New Roman" w:hAnsi="Times New Roman" w:eastAsia="仿宋_GB2312" w:cs="Times New Roman"/>
          <w:color w:val="auto"/>
          <w:sz w:val="32"/>
          <w:szCs w:val="32"/>
          <w:highlight w:val="none"/>
          <w:lang w:val="en-US" w:eastAsia="zh-CN"/>
        </w:rPr>
        <w:t>需求摸底调研不足，政策实施成效未达预期</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_Toc960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- 14 -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_Toc30338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（二）部分政策措施内容有待优化，评审标准全面性不足</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_Toc30338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- 15 -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_Toc27170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（三）绩效指标设置不够全面，目标值设定科学性不足</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_Toc27170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- 17 -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7"/>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fldChar w:fldCharType="begin"/>
      </w:r>
      <w:r>
        <w:rPr>
          <w:rFonts w:hint="default" w:ascii="Times New Roman" w:hAnsi="Times New Roman" w:eastAsia="仿宋_GB2312" w:cs="Times New Roman"/>
          <w:b/>
          <w:bCs/>
          <w:color w:val="auto"/>
          <w:sz w:val="32"/>
          <w:szCs w:val="32"/>
          <w:highlight w:val="none"/>
          <w:lang w:val="en-US" w:eastAsia="zh-CN"/>
        </w:rPr>
        <w:instrText xml:space="preserve"> HYPERLINK \l _Toc17979 </w:instrText>
      </w:r>
      <w:r>
        <w:rPr>
          <w:rFonts w:hint="default" w:ascii="Times New Roman" w:hAnsi="Times New Roman" w:eastAsia="仿宋_GB2312" w:cs="Times New Roman"/>
          <w:b/>
          <w:bCs/>
          <w:color w:val="auto"/>
          <w:sz w:val="32"/>
          <w:szCs w:val="32"/>
          <w:highlight w:val="none"/>
          <w:lang w:val="en-US" w:eastAsia="zh-CN"/>
        </w:rPr>
        <w:fldChar w:fldCharType="separate"/>
      </w:r>
      <w:r>
        <w:rPr>
          <w:rFonts w:hint="default" w:ascii="Times New Roman" w:hAnsi="Times New Roman" w:eastAsia="仿宋_GB2312" w:cs="Times New Roman"/>
          <w:b/>
          <w:bCs/>
          <w:color w:val="auto"/>
          <w:sz w:val="32"/>
          <w:szCs w:val="32"/>
          <w:highlight w:val="none"/>
          <w:lang w:val="en-US" w:eastAsia="zh-CN"/>
        </w:rPr>
        <w:t>五、相关建议</w:t>
      </w:r>
      <w:r>
        <w:rPr>
          <w:rFonts w:hint="default" w:ascii="Times New Roman" w:hAnsi="Times New Roman" w:eastAsia="仿宋_GB2312" w:cs="Times New Roman"/>
          <w:b/>
          <w:bCs/>
          <w:color w:val="auto"/>
          <w:sz w:val="32"/>
          <w:szCs w:val="32"/>
          <w:highlight w:val="none"/>
        </w:rPr>
        <w:tab/>
      </w:r>
      <w:r>
        <w:rPr>
          <w:rFonts w:hint="default" w:ascii="Times New Roman" w:hAnsi="Times New Roman" w:eastAsia="仿宋_GB2312" w:cs="Times New Roman"/>
          <w:b/>
          <w:bCs/>
          <w:color w:val="auto"/>
          <w:sz w:val="32"/>
          <w:szCs w:val="32"/>
          <w:highlight w:val="none"/>
        </w:rPr>
        <w:fldChar w:fldCharType="begin"/>
      </w:r>
      <w:r>
        <w:rPr>
          <w:rFonts w:hint="default" w:ascii="Times New Roman" w:hAnsi="Times New Roman" w:eastAsia="仿宋_GB2312" w:cs="Times New Roman"/>
          <w:b/>
          <w:bCs/>
          <w:color w:val="auto"/>
          <w:sz w:val="32"/>
          <w:szCs w:val="32"/>
          <w:highlight w:val="none"/>
        </w:rPr>
        <w:instrText xml:space="preserve"> PAGEREF _Toc17979 \h </w:instrText>
      </w:r>
      <w:r>
        <w:rPr>
          <w:rFonts w:hint="default" w:ascii="Times New Roman" w:hAnsi="Times New Roman" w:eastAsia="仿宋_GB2312" w:cs="Times New Roman"/>
          <w:b/>
          <w:bCs/>
          <w:color w:val="auto"/>
          <w:sz w:val="32"/>
          <w:szCs w:val="32"/>
          <w:highlight w:val="none"/>
        </w:rPr>
        <w:fldChar w:fldCharType="separate"/>
      </w:r>
      <w:r>
        <w:rPr>
          <w:rFonts w:hint="default" w:ascii="Times New Roman" w:hAnsi="Times New Roman" w:eastAsia="仿宋_GB2312" w:cs="Times New Roman"/>
          <w:b/>
          <w:bCs/>
          <w:color w:val="auto"/>
          <w:sz w:val="32"/>
          <w:szCs w:val="32"/>
          <w:highlight w:val="none"/>
        </w:rPr>
        <w:t>- 17 -</w:t>
      </w:r>
      <w:r>
        <w:rPr>
          <w:rFonts w:hint="default" w:ascii="Times New Roman" w:hAnsi="Times New Roman" w:eastAsia="仿宋_GB2312" w:cs="Times New Roman"/>
          <w:b/>
          <w:bCs/>
          <w:color w:val="auto"/>
          <w:sz w:val="32"/>
          <w:szCs w:val="32"/>
          <w:highlight w:val="none"/>
        </w:rPr>
        <w:fldChar w:fldCharType="end"/>
      </w:r>
      <w:r>
        <w:rPr>
          <w:rFonts w:hint="default" w:ascii="Times New Roman" w:hAnsi="Times New Roman" w:eastAsia="仿宋_GB2312" w:cs="Times New Roman"/>
          <w:b/>
          <w:bCs/>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_Toc31982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（一）强化前期调研论证，提升政策资金投向精准性</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_Toc31982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- 17 -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_Toc26635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（二）优化扶持导向与资源配置，提升政策精准赋能质效</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_Toc26635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- 19 -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9"/>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fldChar w:fldCharType="begin"/>
      </w:r>
      <w:r>
        <w:rPr>
          <w:rFonts w:hint="default" w:ascii="Times New Roman" w:hAnsi="Times New Roman" w:eastAsia="仿宋_GB2312" w:cs="Times New Roman"/>
          <w:color w:val="auto"/>
          <w:sz w:val="32"/>
          <w:szCs w:val="32"/>
          <w:highlight w:val="none"/>
          <w:lang w:val="en-US" w:eastAsia="zh-CN"/>
        </w:rPr>
        <w:instrText xml:space="preserve"> HYPERLINK \l _Toc26757 </w:instrText>
      </w:r>
      <w:r>
        <w:rPr>
          <w:rFonts w:hint="default" w:ascii="Times New Roman" w:hAnsi="Times New Roman" w:eastAsia="仿宋_GB2312" w:cs="Times New Roman"/>
          <w:color w:val="auto"/>
          <w:sz w:val="32"/>
          <w:szCs w:val="32"/>
          <w:highlight w:val="none"/>
          <w:lang w:val="en-US" w:eastAsia="zh-CN"/>
        </w:rPr>
        <w:fldChar w:fldCharType="separate"/>
      </w:r>
      <w:r>
        <w:rPr>
          <w:rFonts w:hint="default" w:ascii="Times New Roman" w:hAnsi="Times New Roman" w:eastAsia="仿宋_GB2312" w:cs="Times New Roman"/>
          <w:color w:val="auto"/>
          <w:sz w:val="32"/>
          <w:szCs w:val="32"/>
          <w:highlight w:val="none"/>
          <w:lang w:val="en-US" w:eastAsia="zh-CN"/>
        </w:rPr>
        <w:t>（三）强化预算绩效管理意识，提升绩效目标设置质量</w:t>
      </w:r>
      <w:r>
        <w:rPr>
          <w:rFonts w:hint="default" w:ascii="Times New Roman" w:hAnsi="Times New Roman" w:eastAsia="仿宋_GB2312" w:cs="Times New Roman"/>
          <w:color w:val="auto"/>
          <w:sz w:val="32"/>
          <w:szCs w:val="32"/>
          <w:highlight w:val="none"/>
        </w:rPr>
        <w:tab/>
      </w:r>
      <w:r>
        <w:rPr>
          <w:rFonts w:hint="default" w:ascii="Times New Roman" w:hAnsi="Times New Roman" w:eastAsia="仿宋_GB2312" w:cs="Times New Roman"/>
          <w:color w:val="auto"/>
          <w:sz w:val="32"/>
          <w:szCs w:val="32"/>
          <w:highlight w:val="none"/>
        </w:rPr>
        <w:fldChar w:fldCharType="begin"/>
      </w:r>
      <w:r>
        <w:rPr>
          <w:rFonts w:hint="default" w:ascii="Times New Roman" w:hAnsi="Times New Roman" w:eastAsia="仿宋_GB2312" w:cs="Times New Roman"/>
          <w:color w:val="auto"/>
          <w:sz w:val="32"/>
          <w:szCs w:val="32"/>
          <w:highlight w:val="none"/>
        </w:rPr>
        <w:instrText xml:space="preserve"> PAGEREF _Toc26757 \h </w:instrText>
      </w:r>
      <w:r>
        <w:rPr>
          <w:rFonts w:hint="default" w:ascii="Times New Roman" w:hAnsi="Times New Roman" w:eastAsia="仿宋_GB2312" w:cs="Times New Roman"/>
          <w:color w:val="auto"/>
          <w:sz w:val="32"/>
          <w:szCs w:val="32"/>
          <w:highlight w:val="none"/>
        </w:rPr>
        <w:fldChar w:fldCharType="separate"/>
      </w:r>
      <w:r>
        <w:rPr>
          <w:rFonts w:hint="default" w:ascii="Times New Roman" w:hAnsi="Times New Roman" w:eastAsia="仿宋_GB2312" w:cs="Times New Roman"/>
          <w:color w:val="auto"/>
          <w:sz w:val="32"/>
          <w:szCs w:val="32"/>
          <w:highlight w:val="none"/>
        </w:rPr>
        <w:t>- 20 -</w:t>
      </w:r>
      <w:r>
        <w:rPr>
          <w:rFonts w:hint="default" w:ascii="Times New Roman" w:hAnsi="Times New Roman" w:eastAsia="仿宋_GB2312" w:cs="Times New Roman"/>
          <w:color w:val="auto"/>
          <w:sz w:val="32"/>
          <w:szCs w:val="32"/>
          <w:highlight w:val="none"/>
        </w:rPr>
        <w:fldChar w:fldCharType="end"/>
      </w:r>
      <w:r>
        <w:rPr>
          <w:rFonts w:hint="default" w:ascii="Times New Roman" w:hAnsi="Times New Roman" w:eastAsia="仿宋_GB2312" w:cs="Times New Roman"/>
          <w:color w:val="auto"/>
          <w:sz w:val="32"/>
          <w:szCs w:val="32"/>
          <w:highlight w:val="none"/>
          <w:lang w:val="en-US" w:eastAsia="zh-CN"/>
        </w:rPr>
        <w:fldChar w:fldCharType="end"/>
      </w:r>
    </w:p>
    <w:p>
      <w:pPr>
        <w:pStyle w:val="7"/>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fldChar w:fldCharType="begin"/>
      </w:r>
      <w:r>
        <w:rPr>
          <w:rFonts w:hint="default" w:ascii="Times New Roman" w:hAnsi="Times New Roman" w:eastAsia="仿宋_GB2312" w:cs="Times New Roman"/>
          <w:b/>
          <w:bCs/>
          <w:color w:val="auto"/>
          <w:sz w:val="32"/>
          <w:szCs w:val="32"/>
          <w:highlight w:val="none"/>
          <w:lang w:val="en-US" w:eastAsia="zh-CN"/>
        </w:rPr>
        <w:instrText xml:space="preserve"> HYPERLINK \l _Toc4950 </w:instrText>
      </w:r>
      <w:r>
        <w:rPr>
          <w:rFonts w:hint="default" w:ascii="Times New Roman" w:hAnsi="Times New Roman" w:eastAsia="仿宋_GB2312" w:cs="Times New Roman"/>
          <w:b/>
          <w:bCs/>
          <w:color w:val="auto"/>
          <w:sz w:val="32"/>
          <w:szCs w:val="32"/>
          <w:highlight w:val="none"/>
          <w:lang w:val="en-US" w:eastAsia="zh-CN"/>
        </w:rPr>
        <w:fldChar w:fldCharType="separate"/>
      </w:r>
      <w:r>
        <w:rPr>
          <w:rFonts w:hint="default" w:ascii="Times New Roman" w:hAnsi="Times New Roman" w:eastAsia="仿宋_GB2312" w:cs="Times New Roman"/>
          <w:b/>
          <w:bCs/>
          <w:color w:val="auto"/>
          <w:sz w:val="32"/>
          <w:szCs w:val="32"/>
          <w:highlight w:val="none"/>
          <w:lang w:val="en-US" w:eastAsia="zh-CN"/>
        </w:rPr>
        <w:t>附件1.绩效评价指标体系</w:t>
      </w:r>
      <w:r>
        <w:rPr>
          <w:rFonts w:hint="default" w:ascii="Times New Roman" w:hAnsi="Times New Roman" w:eastAsia="仿宋_GB2312" w:cs="Times New Roman"/>
          <w:b/>
          <w:bCs/>
          <w:color w:val="auto"/>
          <w:sz w:val="32"/>
          <w:szCs w:val="32"/>
          <w:highlight w:val="none"/>
        </w:rPr>
        <w:tab/>
      </w:r>
      <w:r>
        <w:rPr>
          <w:rFonts w:hint="default" w:ascii="Times New Roman" w:hAnsi="Times New Roman" w:eastAsia="仿宋_GB2312" w:cs="Times New Roman"/>
          <w:b/>
          <w:bCs/>
          <w:color w:val="auto"/>
          <w:sz w:val="32"/>
          <w:szCs w:val="32"/>
          <w:highlight w:val="none"/>
        </w:rPr>
        <w:fldChar w:fldCharType="begin"/>
      </w:r>
      <w:r>
        <w:rPr>
          <w:rFonts w:hint="default" w:ascii="Times New Roman" w:hAnsi="Times New Roman" w:eastAsia="仿宋_GB2312" w:cs="Times New Roman"/>
          <w:b/>
          <w:bCs/>
          <w:color w:val="auto"/>
          <w:sz w:val="32"/>
          <w:szCs w:val="32"/>
          <w:highlight w:val="none"/>
        </w:rPr>
        <w:instrText xml:space="preserve"> PAGEREF _Toc4950 \h </w:instrText>
      </w:r>
      <w:r>
        <w:rPr>
          <w:rFonts w:hint="default" w:ascii="Times New Roman" w:hAnsi="Times New Roman" w:eastAsia="仿宋_GB2312" w:cs="Times New Roman"/>
          <w:b/>
          <w:bCs/>
          <w:color w:val="auto"/>
          <w:sz w:val="32"/>
          <w:szCs w:val="32"/>
          <w:highlight w:val="none"/>
        </w:rPr>
        <w:fldChar w:fldCharType="separate"/>
      </w:r>
      <w:r>
        <w:rPr>
          <w:rFonts w:hint="default" w:ascii="Times New Roman" w:hAnsi="Times New Roman" w:eastAsia="仿宋_GB2312" w:cs="Times New Roman"/>
          <w:b/>
          <w:bCs/>
          <w:color w:val="auto"/>
          <w:sz w:val="32"/>
          <w:szCs w:val="32"/>
          <w:highlight w:val="none"/>
        </w:rPr>
        <w:t>- 21 -</w:t>
      </w:r>
      <w:r>
        <w:rPr>
          <w:rFonts w:hint="default" w:ascii="Times New Roman" w:hAnsi="Times New Roman" w:eastAsia="仿宋_GB2312" w:cs="Times New Roman"/>
          <w:b/>
          <w:bCs/>
          <w:color w:val="auto"/>
          <w:sz w:val="32"/>
          <w:szCs w:val="32"/>
          <w:highlight w:val="none"/>
        </w:rPr>
        <w:fldChar w:fldCharType="end"/>
      </w:r>
      <w:r>
        <w:rPr>
          <w:rFonts w:hint="default" w:ascii="Times New Roman" w:hAnsi="Times New Roman" w:eastAsia="仿宋_GB2312" w:cs="Times New Roman"/>
          <w:b/>
          <w:bCs/>
          <w:color w:val="auto"/>
          <w:sz w:val="32"/>
          <w:szCs w:val="32"/>
          <w:highlight w:val="none"/>
          <w:lang w:val="en-US" w:eastAsia="zh-CN"/>
        </w:rPr>
        <w:fldChar w:fldCharType="end"/>
      </w:r>
    </w:p>
    <w:p>
      <w:pPr>
        <w:pStyle w:val="7"/>
        <w:keepNext w:val="0"/>
        <w:keepLines w:val="0"/>
        <w:pageBreakBefore w:val="0"/>
        <w:widowControl w:val="0"/>
        <w:tabs>
          <w:tab w:val="right" w:leader="dot" w:pos="8958"/>
        </w:tabs>
        <w:kinsoku/>
        <w:wordWrap/>
        <w:overflowPunct/>
        <w:topLinePunct w:val="0"/>
        <w:autoSpaceDE/>
        <w:autoSpaceDN/>
        <w:bidi w:val="0"/>
        <w:adjustRightInd/>
        <w:snapToGrid/>
        <w:spacing w:line="360" w:lineRule="auto"/>
        <w:ind w:left="0" w:leftChars="0" w:firstLine="0" w:firstLineChars="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fldChar w:fldCharType="begin"/>
      </w:r>
      <w:r>
        <w:rPr>
          <w:rFonts w:hint="default" w:ascii="Times New Roman" w:hAnsi="Times New Roman" w:eastAsia="仿宋_GB2312" w:cs="Times New Roman"/>
          <w:b/>
          <w:bCs/>
          <w:color w:val="auto"/>
          <w:sz w:val="32"/>
          <w:szCs w:val="32"/>
          <w:highlight w:val="none"/>
          <w:lang w:val="en-US" w:eastAsia="zh-CN"/>
        </w:rPr>
        <w:instrText xml:space="preserve"> HYPERLINK \l _Toc31001 </w:instrText>
      </w:r>
      <w:r>
        <w:rPr>
          <w:rFonts w:hint="default" w:ascii="Times New Roman" w:hAnsi="Times New Roman" w:eastAsia="仿宋_GB2312" w:cs="Times New Roman"/>
          <w:b/>
          <w:bCs/>
          <w:color w:val="auto"/>
          <w:sz w:val="32"/>
          <w:szCs w:val="32"/>
          <w:highlight w:val="none"/>
          <w:lang w:val="en-US" w:eastAsia="zh-CN"/>
        </w:rPr>
        <w:fldChar w:fldCharType="separate"/>
      </w:r>
      <w:r>
        <w:rPr>
          <w:rFonts w:hint="default" w:ascii="Times New Roman" w:hAnsi="Times New Roman" w:eastAsia="仿宋_GB2312" w:cs="Times New Roman"/>
          <w:b/>
          <w:bCs/>
          <w:color w:val="auto"/>
          <w:sz w:val="32"/>
          <w:szCs w:val="32"/>
          <w:highlight w:val="none"/>
          <w:lang w:val="en-US" w:eastAsia="zh-CN"/>
        </w:rPr>
        <w:t>附件2.绩效评价满意度调查结果统计表</w:t>
      </w:r>
      <w:r>
        <w:rPr>
          <w:rFonts w:hint="default" w:ascii="Times New Roman" w:hAnsi="Times New Roman" w:eastAsia="仿宋_GB2312" w:cs="Times New Roman"/>
          <w:b/>
          <w:bCs/>
          <w:color w:val="auto"/>
          <w:sz w:val="32"/>
          <w:szCs w:val="32"/>
          <w:highlight w:val="none"/>
        </w:rPr>
        <w:tab/>
      </w:r>
      <w:r>
        <w:rPr>
          <w:rFonts w:hint="default" w:ascii="Times New Roman" w:hAnsi="Times New Roman" w:eastAsia="仿宋_GB2312" w:cs="Times New Roman"/>
          <w:b/>
          <w:bCs/>
          <w:color w:val="auto"/>
          <w:sz w:val="32"/>
          <w:szCs w:val="32"/>
          <w:highlight w:val="none"/>
        </w:rPr>
        <w:fldChar w:fldCharType="begin"/>
      </w:r>
      <w:r>
        <w:rPr>
          <w:rFonts w:hint="default" w:ascii="Times New Roman" w:hAnsi="Times New Roman" w:eastAsia="仿宋_GB2312" w:cs="Times New Roman"/>
          <w:b/>
          <w:bCs/>
          <w:color w:val="auto"/>
          <w:sz w:val="32"/>
          <w:szCs w:val="32"/>
          <w:highlight w:val="none"/>
        </w:rPr>
        <w:instrText xml:space="preserve"> PAGEREF _Toc31001 \h </w:instrText>
      </w:r>
      <w:r>
        <w:rPr>
          <w:rFonts w:hint="default" w:ascii="Times New Roman" w:hAnsi="Times New Roman" w:eastAsia="仿宋_GB2312" w:cs="Times New Roman"/>
          <w:b/>
          <w:bCs/>
          <w:color w:val="auto"/>
          <w:sz w:val="32"/>
          <w:szCs w:val="32"/>
          <w:highlight w:val="none"/>
        </w:rPr>
        <w:fldChar w:fldCharType="separate"/>
      </w:r>
      <w:r>
        <w:rPr>
          <w:rFonts w:hint="default" w:ascii="Times New Roman" w:hAnsi="Times New Roman" w:eastAsia="仿宋_GB2312" w:cs="Times New Roman"/>
          <w:b/>
          <w:bCs/>
          <w:color w:val="auto"/>
          <w:sz w:val="32"/>
          <w:szCs w:val="32"/>
          <w:highlight w:val="none"/>
        </w:rPr>
        <w:t>- 38 -</w:t>
      </w:r>
      <w:r>
        <w:rPr>
          <w:rFonts w:hint="default" w:ascii="Times New Roman" w:hAnsi="Times New Roman" w:eastAsia="仿宋_GB2312" w:cs="Times New Roman"/>
          <w:b/>
          <w:bCs/>
          <w:color w:val="auto"/>
          <w:sz w:val="32"/>
          <w:szCs w:val="32"/>
          <w:highlight w:val="none"/>
        </w:rPr>
        <w:fldChar w:fldCharType="end"/>
      </w:r>
      <w:r>
        <w:rPr>
          <w:rFonts w:hint="default" w:ascii="Times New Roman" w:hAnsi="Times New Roman" w:eastAsia="仿宋_GB2312" w:cs="Times New Roman"/>
          <w:b/>
          <w:bCs/>
          <w:color w:val="auto"/>
          <w:sz w:val="32"/>
          <w:szCs w:val="32"/>
          <w:highlight w:val="none"/>
          <w:lang w:val="en-US" w:eastAsia="zh-CN"/>
        </w:rPr>
        <w:fldChar w:fldCharType="end"/>
      </w:r>
    </w:p>
    <w:p>
      <w:pPr>
        <w:pStyle w:val="17"/>
        <w:ind w:left="0" w:firstLine="0" w:firstLineChars="0"/>
        <w:jc w:val="center"/>
        <w:rPr>
          <w:rFonts w:hint="default" w:ascii="Times New Roman" w:hAnsi="Times New Roman" w:eastAsia="仿宋_GB2312" w:cs="Times New Roman"/>
          <w:color w:val="auto"/>
          <w:sz w:val="32"/>
          <w:szCs w:val="32"/>
          <w:highlight w:val="none"/>
          <w:lang w:val="en-US" w:eastAsia="zh-CN"/>
        </w:rPr>
        <w:sectPr>
          <w:footerReference r:id="rId4" w:type="default"/>
          <w:pgSz w:w="11906" w:h="16838"/>
          <w:pgMar w:top="2041" w:right="1417" w:bottom="1417" w:left="1531" w:header="851" w:footer="992" w:gutter="0"/>
          <w:pgNumType w:fmt="numberInDash" w:start="1"/>
          <w:cols w:space="425" w:num="1"/>
          <w:docGrid w:type="lines" w:linePitch="312" w:charSpace="0"/>
        </w:sectPr>
      </w:pPr>
    </w:p>
    <w:p>
      <w:pPr>
        <w:pStyle w:val="17"/>
        <w:ind w:left="0" w:firstLine="0" w:firstLineChars="0"/>
        <w:jc w:val="center"/>
        <w:rPr>
          <w:rFonts w:hint="eastAsia" w:ascii="Times New Roman" w:hAnsi="Times New Roman" w:eastAsia="方正小标宋简体" w:cs="Times New Roman"/>
          <w:color w:val="auto"/>
          <w:sz w:val="44"/>
          <w:szCs w:val="44"/>
          <w:lang w:val="en-US" w:eastAsia="zh-CN"/>
        </w:rPr>
      </w:pPr>
      <w:r>
        <w:rPr>
          <w:rFonts w:hint="default" w:ascii="Times New Roman" w:hAnsi="Times New Roman" w:eastAsia="仿宋_GB2312" w:cs="Times New Roman"/>
          <w:color w:val="auto"/>
          <w:sz w:val="32"/>
          <w:szCs w:val="32"/>
          <w:highlight w:val="none"/>
          <w:lang w:val="en-US" w:eastAsia="zh-CN"/>
        </w:rPr>
        <w:fldChar w:fldCharType="end"/>
      </w:r>
      <w:r>
        <w:rPr>
          <w:rFonts w:hint="default" w:ascii="Times New Roman" w:hAnsi="Times New Roman" w:eastAsia="方正小标宋简体" w:cs="Times New Roman"/>
          <w:color w:val="auto"/>
          <w:sz w:val="44"/>
          <w:szCs w:val="44"/>
          <w:lang w:val="en-US" w:eastAsia="zh-CN"/>
        </w:rPr>
        <w:t>东莞松山湖科技赋能产业高质量发展实施办法政策</w:t>
      </w:r>
      <w:r>
        <w:rPr>
          <w:rFonts w:hint="eastAsia" w:ascii="Times New Roman" w:hAnsi="Times New Roman" w:eastAsia="方正小标宋简体" w:cs="Times New Roman"/>
          <w:color w:val="auto"/>
          <w:sz w:val="44"/>
          <w:szCs w:val="44"/>
          <w:lang w:val="en-US" w:eastAsia="zh-CN"/>
        </w:rPr>
        <w:t>中期</w:t>
      </w:r>
      <w:r>
        <w:rPr>
          <w:rFonts w:hint="default" w:ascii="Times New Roman" w:hAnsi="Times New Roman" w:eastAsia="方正小标宋简体" w:cs="Times New Roman"/>
          <w:color w:val="auto"/>
          <w:sz w:val="44"/>
          <w:szCs w:val="44"/>
        </w:rPr>
        <w:t>绩效评价</w:t>
      </w:r>
      <w:r>
        <w:rPr>
          <w:rFonts w:hint="eastAsia" w:ascii="Times New Roman" w:hAnsi="Times New Roman" w:eastAsia="方正小标宋简体" w:cs="Times New Roman"/>
          <w:color w:val="auto"/>
          <w:sz w:val="44"/>
          <w:szCs w:val="44"/>
          <w:lang w:val="en-US" w:eastAsia="zh-CN"/>
        </w:rPr>
        <w:t>报告</w:t>
      </w:r>
    </w:p>
    <w:p>
      <w:pPr>
        <w:pStyle w:val="17"/>
        <w:bidi w:val="0"/>
        <w:rPr>
          <w:rFonts w:hint="eastAsia"/>
          <w:color w:val="auto"/>
        </w:rPr>
      </w:pPr>
    </w:p>
    <w:p>
      <w:pPr>
        <w:pStyle w:val="17"/>
        <w:bidi w:val="0"/>
        <w:rPr>
          <w:rFonts w:hint="eastAsia"/>
          <w:color w:val="auto"/>
          <w:highlight w:val="none"/>
        </w:rPr>
      </w:pPr>
      <w:r>
        <w:rPr>
          <w:rFonts w:hint="eastAsia"/>
          <w:color w:val="auto"/>
          <w:highlight w:val="none"/>
        </w:rPr>
        <w:t>根据《中共中央 国务院关于全面实施预算绩效管理的意见》（财预〔2018〕167号）、《中共广东省委广东省人民政府关于全面实施预算绩效管理的若干意见》（粤发〔2019〕5号）、《东莞市人民政府办公室关于印发〈关于全面实施预算绩效管理的意见〉的通知》（东府办〔2019〕51号）</w:t>
      </w:r>
      <w:r>
        <w:rPr>
          <w:rFonts w:hint="eastAsia"/>
          <w:color w:val="auto"/>
          <w:highlight w:val="none"/>
          <w:lang w:val="en-US" w:eastAsia="zh-CN"/>
        </w:rPr>
        <w:t>相关</w:t>
      </w:r>
      <w:r>
        <w:rPr>
          <w:rFonts w:hint="eastAsia"/>
          <w:color w:val="auto"/>
          <w:highlight w:val="none"/>
        </w:rPr>
        <w:t>要求，202</w:t>
      </w:r>
      <w:r>
        <w:rPr>
          <w:rFonts w:hint="eastAsia"/>
          <w:color w:val="auto"/>
          <w:highlight w:val="none"/>
          <w:lang w:val="en-US" w:eastAsia="zh-CN"/>
        </w:rPr>
        <w:t>6</w:t>
      </w:r>
      <w:r>
        <w:rPr>
          <w:rFonts w:hint="eastAsia"/>
          <w:color w:val="auto"/>
          <w:highlight w:val="none"/>
        </w:rPr>
        <w:t>年5—8月期间，东莞松山湖高新技术产业开发区管理委员会财政国资金融局（以下简称</w:t>
      </w:r>
      <w:r>
        <w:rPr>
          <w:rFonts w:hint="eastAsia"/>
          <w:color w:val="auto"/>
          <w:highlight w:val="none"/>
          <w:lang w:eastAsia="zh-CN"/>
        </w:rPr>
        <w:t>松山湖财金局</w:t>
      </w:r>
      <w:r>
        <w:rPr>
          <w:rFonts w:hint="eastAsia"/>
          <w:color w:val="auto"/>
          <w:highlight w:val="none"/>
        </w:rPr>
        <w:t>）组织并委托第三方机构</w:t>
      </w:r>
      <w:r>
        <w:rPr>
          <w:rFonts w:hint="eastAsia"/>
          <w:color w:val="auto"/>
          <w:highlight w:val="none"/>
          <w:lang w:eastAsia="zh-CN"/>
        </w:rPr>
        <w:t>（广东三胜管理顾问有限公司，</w:t>
      </w:r>
      <w:r>
        <w:rPr>
          <w:rFonts w:hint="eastAsia"/>
          <w:color w:val="auto"/>
          <w:highlight w:val="none"/>
          <w:lang w:val="en-US" w:eastAsia="zh-CN"/>
        </w:rPr>
        <w:t>以下简称评价小组</w:t>
      </w:r>
      <w:r>
        <w:rPr>
          <w:rFonts w:hint="eastAsia"/>
          <w:color w:val="auto"/>
          <w:highlight w:val="none"/>
          <w:lang w:eastAsia="zh-CN"/>
        </w:rPr>
        <w:t>），</w:t>
      </w:r>
      <w:r>
        <w:rPr>
          <w:rFonts w:hint="eastAsia"/>
          <w:color w:val="auto"/>
          <w:highlight w:val="none"/>
        </w:rPr>
        <w:t>对东莞松山湖高新技术产业开发区管理委员会科技创新局（以下简称松山湖科技创新局）的东莞松山湖科技赋能产业高质量发展实施办法政策执行情况开展中期绩效评价</w:t>
      </w:r>
      <w:r>
        <w:rPr>
          <w:rFonts w:hint="eastAsia"/>
          <w:color w:val="auto"/>
          <w:highlight w:val="none"/>
          <w:lang w:eastAsia="zh-CN"/>
        </w:rPr>
        <w:t>。</w:t>
      </w:r>
      <w:r>
        <w:rPr>
          <w:rFonts w:hint="eastAsia"/>
          <w:color w:val="auto"/>
          <w:highlight w:val="none"/>
        </w:rPr>
        <w:t>经过自评材料审核、现场勘验、综合分析评价等一系列程序，形成本绩效评价报告</w:t>
      </w:r>
    </w:p>
    <w:p>
      <w:pPr>
        <w:pStyle w:val="15"/>
        <w:bidi w:val="0"/>
        <w:rPr>
          <w:rFonts w:hint="default"/>
          <w:color w:val="auto"/>
          <w:lang w:val="en-US" w:eastAsia="zh-CN"/>
        </w:rPr>
      </w:pPr>
      <w:bookmarkStart w:id="1" w:name="_Toc15204"/>
      <w:r>
        <w:rPr>
          <w:rFonts w:hint="eastAsia"/>
          <w:color w:val="auto"/>
        </w:rPr>
        <w:t>一、</w:t>
      </w:r>
      <w:r>
        <w:rPr>
          <w:rFonts w:hint="eastAsia"/>
          <w:color w:val="auto"/>
          <w:lang w:val="en-US" w:eastAsia="zh-CN"/>
        </w:rPr>
        <w:t>评价政策概况</w:t>
      </w:r>
      <w:bookmarkEnd w:id="1"/>
    </w:p>
    <w:p>
      <w:pPr>
        <w:pStyle w:val="16"/>
        <w:bidi w:val="0"/>
        <w:rPr>
          <w:rFonts w:hint="default"/>
          <w:color w:val="auto"/>
          <w:lang w:val="en-US" w:eastAsia="zh-CN"/>
        </w:rPr>
      </w:pPr>
      <w:bookmarkStart w:id="2" w:name="_Toc4846"/>
      <w:r>
        <w:rPr>
          <w:rFonts w:hint="eastAsia"/>
          <w:color w:val="auto"/>
          <w:lang w:val="en-US" w:eastAsia="zh-CN"/>
        </w:rPr>
        <w:t>（一）政策背景和内容</w:t>
      </w:r>
      <w:bookmarkEnd w:id="2"/>
    </w:p>
    <w:p>
      <w:pPr>
        <w:pStyle w:val="17"/>
        <w:bidi w:val="0"/>
        <w:rPr>
          <w:rFonts w:hint="default"/>
          <w:color w:val="auto"/>
          <w:lang w:val="en-US" w:eastAsia="zh-CN"/>
        </w:rPr>
      </w:pPr>
      <w:r>
        <w:rPr>
          <w:rFonts w:hint="eastAsia"/>
          <w:color w:val="auto"/>
          <w:lang w:val="en-US" w:eastAsia="zh-CN"/>
        </w:rPr>
        <w:t>为深入贯彻落实省委“1310”具体部署和省市高质量发展大会精神，全过程赋能产业高质量发展，促进科技产业互促双强，支持大湾区综合性国家科学中心先行启动区（松山湖科学城）建设要求，2025年9月，东莞松山湖高新技术产业开发区管理委员会印发《东莞松山湖科技赋能产业高质量发展实施办法》（东松规〔2025〕2号），明确提出：松山湖科技创新局系政策主管部门，政策主要实施内容：围绕支持成果转化、培育企业、鼓励技术创新、支持创新创业平台建设、科技金融赋能、鼓励自由科学探索和科学普及等方面，对符合条件的法人单位及个人给予奖励资金支持，该项实施办法自2025年9月18日起实施，有效期至2027年12月31日，各项政策措施支持对象和标准详见下表。</w:t>
      </w:r>
    </w:p>
    <w:p>
      <w:pPr>
        <w:keepNext w:val="0"/>
        <w:keepLines w:val="0"/>
        <w:pageBreakBefore w:val="0"/>
        <w:widowControl w:val="0"/>
        <w:kinsoku/>
        <w:wordWrap/>
        <w:overflowPunct/>
        <w:topLinePunct w:val="0"/>
        <w:autoSpaceDE/>
        <w:autoSpaceDN/>
        <w:bidi w:val="0"/>
        <w:adjustRightInd/>
        <w:snapToGrid/>
        <w:spacing w:before="313" w:beforeLines="100" w:line="360" w:lineRule="auto"/>
        <w:ind w:firstLine="0" w:firstLineChars="0"/>
        <w:jc w:val="center"/>
        <w:textAlignment w:val="auto"/>
        <w:outlineLvl w:val="3"/>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表1-1 政策基本情况</w:t>
      </w:r>
      <w:r>
        <w:rPr>
          <w:rStyle w:val="14"/>
          <w:rFonts w:hint="default" w:ascii="Times New Roman" w:hAnsi="Times New Roman" w:eastAsia="黑体" w:cs="Times New Roman"/>
          <w:color w:val="auto"/>
          <w:sz w:val="28"/>
          <w:szCs w:val="28"/>
          <w:lang w:val="en-US" w:eastAsia="zh-CN"/>
        </w:rPr>
        <w:t>[</w:t>
      </w:r>
      <w:r>
        <w:rPr>
          <w:rStyle w:val="14"/>
          <w:rFonts w:hint="default" w:ascii="Times New Roman" w:hAnsi="Times New Roman" w:eastAsia="黑体" w:cs="Times New Roman"/>
          <w:color w:val="auto"/>
          <w:sz w:val="28"/>
          <w:szCs w:val="28"/>
          <w:lang w:val="en-US" w:eastAsia="zh-CN"/>
        </w:rPr>
        <w:footnoteReference w:id="0"/>
      </w:r>
      <w:r>
        <w:rPr>
          <w:rStyle w:val="14"/>
          <w:rFonts w:hint="default" w:ascii="Times New Roman" w:hAnsi="Times New Roman" w:eastAsia="黑体" w:cs="Times New Roman"/>
          <w:color w:val="auto"/>
          <w:sz w:val="28"/>
          <w:szCs w:val="28"/>
          <w:lang w:val="en-US" w:eastAsia="zh-CN"/>
        </w:rPr>
        <w:t>]</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73"/>
        <w:gridCol w:w="71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1076"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政策措施</w:t>
            </w:r>
          </w:p>
        </w:tc>
        <w:tc>
          <w:tcPr>
            <w:tcW w:w="3923"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政策支持对象和标准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0"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第十条 支持社会资本赋能成果落地</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科技成果在松山湖落地转化，对注册时间不超过5年，成功引入风险投资基金或基金管理公司（在中国证券投资基金业协会备案）、上市企业或上市企业全资子公司入股，且已到位资金不少于50万元的科技企业，按已到位资金的10%累计最高奖励100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2"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第十一条 鼓励科技成果向企业转化</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鼓励科技企业、高校、科研机构及技术经理人开展科技成果转化，给予以下支持：</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（一）鼓励高校及科研机构向非关联企业转化科技成果，并签订技术开发或技术转让合同，按实际发生的技术交易额的3%最高奖励20万元。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（二）支持规上科技企业与非关联高校、中国科学院及下属研究所、国家或省实验室、松山湖内省级新型研发机构签订技术开发或技术转让合同，按实际发生技术交易额的10%最高奖励20万元。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三）支持国家技术转移人才培养基地（广东）建设，壮大科技成果转移转化服务队伍。被国家技术转移人才培养基地（广东）考核评定的中、高级技术经理人和国际注册技术转移经理人（RTTP），促成松山湖企事业单位与国内外企事业单位签订技术开发、技术转让、技术服务合同的，按认定的实际发生技术交易额的3%最高奖励3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第十二条 鼓励企业科技成果应用</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鼓励注册时间不超过5年的科技企业，向国内外上</w:t>
            </w:r>
            <w:bookmarkStart w:id="23" w:name="_GoBack"/>
            <w:bookmarkEnd w:id="23"/>
            <w:r>
              <w:rPr>
                <w:rFonts w:hint="default" w:ascii="Times New Roman" w:hAnsi="Times New Roman" w:eastAsia="仿宋_GB2312" w:cs="Times New Roman"/>
                <w:i w:val="0"/>
                <w:iCs w:val="0"/>
                <w:color w:val="auto"/>
                <w:kern w:val="0"/>
                <w:sz w:val="24"/>
                <w:szCs w:val="24"/>
                <w:u w:val="none"/>
                <w:lang w:val="en-US" w:eastAsia="zh-CN" w:bidi="ar"/>
              </w:rPr>
              <w:t>市企业或上年度营业收入超过100亿元的企业（含上述两类企业全资子公司），推广自主知识产权科技成果，按技术合同或采购订单实际交易额的20%最高奖励20万元。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第十三条 支持高新技术企业认定</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鼓励企业申报认定高企，对当年首次认定、重新认定的高企，分别奖励6万元、3万元。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第十四条 鼓励企业加大研发投入</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支持高企、科技型中小企业、规模以上企业加大研发投入，对内部研发费用100万元以上（含）的企业，给予研发投入补助，标准如下：</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（一）上年度内部研发费用5000万元以上（含），补助50万元。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（二）上年度内部研发费用2000万元（含）至5000万元，补助30万元。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（三）上年度内部研发费用100万元（含）至2000万元，且内部研发费用同比增长5%以上（含），按上年度内部研发费用的5%，最高补助10万元。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根据本政策年度预算总额安排，本条款可按统一比例对资助金额进行下调。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第十五条 支持产业技术攻关</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支持松山湖单位承担</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国家科技创新2030——重大科技项目</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、国家重点研发计划项目和广东省重点领域研发计划项目，以及国家、军队、省国防重大专项和核心技术攻关项目，对单个项目到账 立项资助金额不少于100万元的单位给予奖励，标准如下：</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（一）按到账立项资助金额的10%，对牵头承担国家级、省级项目的企业，分别最高奖励300万元、100万元；对参与承担国家级、省级项目的企业，分别最高奖励50万元、20万元。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（二）按到账立项资助金额的5%，对牵头承担国家级、省级项目的高校、科研机构，分别最高奖励300万元、100万元；对参与承担国家级项目的高校、科研机构，最高奖励50万元。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奖励资金分两期拨付：在本办法实施期间，项目通过中期评估，拨付50%奖励资金；项目通过验收，拨付余下奖励资金。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第十六条 支持研发机构建设</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（一）支持规上企业建设境外研发机构，对经商务部门备案的境外研发机构，按每个机构5万元的标准奖励所属企业，每家企业累计最高奖励20万元。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（二）支持松山湖单位申报认定省级以上研发机构，标准如下：</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1.新认定国家技术创新中心、国家产业创新中心、国家制造业创新中心、全国重点实验室、国家级企业技术中心，每家奖励1000万元。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2.新认定国家级工业设计中心、省级技术创新中心、省级制造业创新中心、粤港澳联合实验室、省级重点实验室，每家奖励150万元。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同一研发机构从省级跃升至国家级的，按照</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就高补差</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方式给予奖励。</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第十七条 支持概念验证中心及中试平台建设</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（一）对获得国家、省概念验证中心或中试平台认定的单位分别奖励50万元、30万元。同一平台从省级跃升至国家级的，按照“就高补差”方式给予奖励。</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（二）对获得市级以上认定的概念验证中心或中试平台，按新购科研仪器设备额（不含税，单台设备原值不低于10万元）的10%给予补贴。国家、省、市级平台所属单位分别累计最高补贴300万元、200万元和100万元。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（三）对同时满足以下三项条件的平台，按新购设备购置额（不含税）不高于20%的比例给予最高补贴2000万元：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1.符合松山湖</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1+4+1+X</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产业体系领域；</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2.达到市级以上中试平台认定建设标准；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3.新增固定资产投入不低于1亿元。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第（二）（三）款按照“就高补差”方式给予补贴，具体补贴比例按照年度资金预算规模、申报项目数量等因素综合考虑确定。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第十八条 鼓励科技企业孵化器评先争优</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对市级及以上孵化器进行评比，对总评分排名第1—3名的孵化器分别奖励100万元、70万元和50万元，对排名第4—6名的孵化器各奖励10万元。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第十九条 支持科技企业融资发展</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对获得信用贷款或融资担保贷款的科技企业，按一定比例给予贴息支持。具体以松山湖管委会出台的相关金融政策为准。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第二十条 支持企业投保科技保险</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对投保科技保险的科技企业，按实际支付保费的一定比例给予补贴。具体以松山湖管委会出台的相关金融政策为准。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第二十一条 构建政策型基金体系</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投早投小投硬科技</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，设立松山湖种子基金、天使基金，对符合松山湖</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1+4+1+X</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产业体系领域的项目，由松山湖政策性基金按基金管理办法进行投资。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第二十二条 鼓励前沿科学研究和自由科学探索</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松山湖管委会每年安排不少于1500万元，参与组建“广东省基础与应用基础研究基金东莞市联合基金”，资助科研人员开展前沿科学研究和自由科学探索。基金具体组织实施工作由广东省基础与应用基础研究基金委员会执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107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第二十三条 推动科学普及</w:t>
            </w:r>
          </w:p>
        </w:tc>
        <w:tc>
          <w:tcPr>
            <w:tcW w:w="392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一）鼓励学校聘请高层次科技人才担任科学副校长。对经教育部门备案聘请科学副校长的中小学和幼儿园，分别给予5万元、2万元工作经费补贴。经费用于开展科学教育活动的组织与实施，包括科普讲座、科学实验、科技竞赛等。</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二）科普阵地品质提升奖励。鼓励科普阵地发挥资源优势，加强高质量科普创作，开发并举办科学、新颖、高水平的科普品牌活动，按科普阵地活动成效进行量化评比，评定一、二、三等级各2家、3家、5家，分别奖励15万元、10万元、5万元。</w:t>
            </w:r>
          </w:p>
        </w:tc>
      </w:tr>
    </w:tbl>
    <w:p>
      <w:pPr>
        <w:pStyle w:val="17"/>
        <w:bidi w:val="0"/>
        <w:rPr>
          <w:rFonts w:hint="eastAsia"/>
          <w:color w:val="auto"/>
          <w:lang w:val="en-US" w:eastAsia="zh-CN"/>
        </w:rPr>
      </w:pPr>
    </w:p>
    <w:p>
      <w:pPr>
        <w:pStyle w:val="16"/>
        <w:bidi w:val="0"/>
        <w:rPr>
          <w:rFonts w:hint="eastAsia"/>
          <w:color w:val="auto"/>
          <w:lang w:val="en-US" w:eastAsia="zh-CN"/>
        </w:rPr>
      </w:pPr>
      <w:bookmarkStart w:id="3" w:name="_Toc6318"/>
      <w:r>
        <w:rPr>
          <w:rFonts w:hint="eastAsia"/>
          <w:color w:val="auto"/>
          <w:lang w:val="en-US" w:eastAsia="zh-CN"/>
        </w:rPr>
        <w:t>（二）绩效目标概况</w:t>
      </w:r>
      <w:bookmarkEnd w:id="3"/>
    </w:p>
    <w:p>
      <w:pPr>
        <w:pStyle w:val="18"/>
        <w:bidi w:val="0"/>
        <w:rPr>
          <w:rFonts w:hint="default"/>
          <w:color w:val="auto"/>
          <w:lang w:val="en-US" w:eastAsia="zh-CN"/>
        </w:rPr>
      </w:pPr>
      <w:r>
        <w:rPr>
          <w:rFonts w:hint="eastAsia"/>
          <w:color w:val="auto"/>
          <w:lang w:val="en-US" w:eastAsia="zh-CN"/>
        </w:rPr>
        <w:t>1.绩效目标</w:t>
      </w:r>
    </w:p>
    <w:p>
      <w:pPr>
        <w:pStyle w:val="17"/>
        <w:bidi w:val="0"/>
        <w:rPr>
          <w:rFonts w:hint="eastAsia"/>
          <w:color w:val="auto"/>
          <w:lang w:val="en-US" w:eastAsia="zh-CN"/>
        </w:rPr>
      </w:pPr>
      <w:r>
        <w:rPr>
          <w:rFonts w:hint="eastAsia"/>
          <w:color w:val="auto"/>
          <w:lang w:val="en-US" w:eastAsia="zh-CN"/>
        </w:rPr>
        <w:t>查阅《项目绩效目标表》，政策总体绩效目标为：通过政策实施，支持企业培育，引导并充分调动松山湖企业加大技术研发投入，增强自主研发和创新能力，打造高能级创新创业平台，同时支持前沿探索和科学普及，促进产业科技互促双强。</w:t>
      </w:r>
    </w:p>
    <w:p>
      <w:pPr>
        <w:pStyle w:val="18"/>
        <w:bidi w:val="0"/>
        <w:rPr>
          <w:rFonts w:hint="default"/>
          <w:color w:val="auto"/>
          <w:lang w:val="en-US" w:eastAsia="zh-CN"/>
        </w:rPr>
      </w:pPr>
      <w:r>
        <w:rPr>
          <w:rFonts w:hint="eastAsia"/>
          <w:color w:val="auto"/>
          <w:lang w:val="en-US" w:eastAsia="zh-CN"/>
        </w:rPr>
        <w:t>2.绩效指标</w:t>
      </w:r>
    </w:p>
    <w:p>
      <w:pPr>
        <w:pStyle w:val="17"/>
        <w:bidi w:val="0"/>
        <w:rPr>
          <w:rFonts w:hint="default"/>
          <w:color w:val="auto"/>
          <w:lang w:val="en-US" w:eastAsia="zh-CN"/>
        </w:rPr>
      </w:pPr>
      <w:r>
        <w:rPr>
          <w:rFonts w:hint="default"/>
          <w:color w:val="auto"/>
          <w:lang w:val="en-US" w:eastAsia="zh-CN"/>
        </w:rPr>
        <w:t>根据《项目绩效目标表》</w:t>
      </w:r>
      <w:r>
        <w:rPr>
          <w:rFonts w:hint="eastAsia"/>
          <w:color w:val="auto"/>
          <w:lang w:val="en-US" w:eastAsia="zh-CN"/>
        </w:rPr>
        <w:t>，本政策</w:t>
      </w:r>
      <w:r>
        <w:rPr>
          <w:rFonts w:hint="default"/>
          <w:color w:val="auto"/>
          <w:lang w:val="en-US" w:eastAsia="zh-CN"/>
        </w:rPr>
        <w:t>共设置1</w:t>
      </w:r>
      <w:r>
        <w:rPr>
          <w:rFonts w:hint="eastAsia"/>
          <w:color w:val="auto"/>
          <w:lang w:val="en-US" w:eastAsia="zh-CN"/>
        </w:rPr>
        <w:t>4</w:t>
      </w:r>
      <w:r>
        <w:rPr>
          <w:rFonts w:hint="default"/>
          <w:color w:val="auto"/>
          <w:lang w:val="en-US" w:eastAsia="zh-CN"/>
        </w:rPr>
        <w:t>个绩效指标，</w:t>
      </w:r>
      <w:r>
        <w:rPr>
          <w:rFonts w:hint="eastAsia"/>
          <w:color w:val="auto"/>
          <w:lang w:val="en-US" w:eastAsia="zh-CN"/>
        </w:rPr>
        <w:t>包括成本指标1个、</w:t>
      </w:r>
      <w:r>
        <w:rPr>
          <w:rFonts w:hint="default"/>
          <w:color w:val="auto"/>
          <w:lang w:val="en-US" w:eastAsia="zh-CN"/>
        </w:rPr>
        <w:t>产出指标</w:t>
      </w:r>
      <w:r>
        <w:rPr>
          <w:rFonts w:hint="eastAsia"/>
          <w:color w:val="auto"/>
          <w:lang w:val="en-US" w:eastAsia="zh-CN"/>
        </w:rPr>
        <w:t>6</w:t>
      </w:r>
      <w:r>
        <w:rPr>
          <w:rFonts w:hint="default"/>
          <w:color w:val="auto"/>
          <w:lang w:val="en-US" w:eastAsia="zh-CN"/>
        </w:rPr>
        <w:t>个、效益指标</w:t>
      </w:r>
      <w:r>
        <w:rPr>
          <w:rFonts w:hint="eastAsia"/>
          <w:color w:val="auto"/>
          <w:lang w:val="en-US" w:eastAsia="zh-CN"/>
        </w:rPr>
        <w:t>5</w:t>
      </w:r>
      <w:r>
        <w:rPr>
          <w:rFonts w:hint="default"/>
          <w:color w:val="auto"/>
          <w:lang w:val="en-US" w:eastAsia="zh-CN"/>
        </w:rPr>
        <w:t>个、满意度指标2个，详见表1-2。</w:t>
      </w:r>
    </w:p>
    <w:p>
      <w:pPr>
        <w:pStyle w:val="19"/>
        <w:bidi w:val="0"/>
        <w:rPr>
          <w:rFonts w:hint="default"/>
          <w:color w:val="auto"/>
          <w:lang w:val="en-US" w:eastAsia="zh-CN"/>
        </w:rPr>
      </w:pPr>
      <w:r>
        <w:rPr>
          <w:rFonts w:hint="eastAsia"/>
          <w:color w:val="auto"/>
          <w:lang w:val="en-US" w:eastAsia="zh-CN"/>
        </w:rPr>
        <w:t>表1-2 政策绩效指标设置概况</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86"/>
        <w:gridCol w:w="825"/>
        <w:gridCol w:w="875"/>
        <w:gridCol w:w="3713"/>
        <w:gridCol w:w="1725"/>
        <w:gridCol w:w="134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374"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序号</w:t>
            </w:r>
          </w:p>
        </w:tc>
        <w:tc>
          <w:tcPr>
            <w:tcW w:w="449"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一级指标</w:t>
            </w:r>
          </w:p>
        </w:tc>
        <w:tc>
          <w:tcPr>
            <w:tcW w:w="477"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二级指标</w:t>
            </w:r>
          </w:p>
        </w:tc>
        <w:tc>
          <w:tcPr>
            <w:tcW w:w="2025"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三级指标</w:t>
            </w:r>
          </w:p>
        </w:tc>
        <w:tc>
          <w:tcPr>
            <w:tcW w:w="940"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0"/>
                <w:sz w:val="24"/>
                <w:szCs w:val="24"/>
                <w:u w:val="none"/>
                <w:lang w:val="en-US" w:eastAsia="zh-CN" w:bidi="ar"/>
              </w:rPr>
            </w:pPr>
            <w:r>
              <w:rPr>
                <w:rFonts w:hint="default" w:ascii="Times New Roman" w:hAnsi="Times New Roman" w:eastAsia="仿宋_GB2312" w:cs="Times New Roman"/>
                <w:b/>
                <w:bCs/>
                <w:i w:val="0"/>
                <w:iCs w:val="0"/>
                <w:color w:val="auto"/>
                <w:kern w:val="0"/>
                <w:sz w:val="24"/>
                <w:szCs w:val="24"/>
                <w:u w:val="none"/>
                <w:lang w:val="en-US" w:eastAsia="zh-CN" w:bidi="ar"/>
              </w:rPr>
              <w:t>实施周期</w:t>
            </w:r>
          </w:p>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指标值</w:t>
            </w:r>
          </w:p>
        </w:tc>
        <w:tc>
          <w:tcPr>
            <w:tcW w:w="732"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0"/>
                <w:sz w:val="24"/>
                <w:szCs w:val="24"/>
                <w:u w:val="none"/>
                <w:lang w:val="en-US" w:eastAsia="zh-CN" w:bidi="ar"/>
              </w:rPr>
            </w:pPr>
            <w:r>
              <w:rPr>
                <w:rFonts w:hint="default" w:ascii="Times New Roman" w:hAnsi="Times New Roman" w:eastAsia="仿宋_GB2312" w:cs="Times New Roman"/>
                <w:b/>
                <w:bCs/>
                <w:i w:val="0"/>
                <w:iCs w:val="0"/>
                <w:color w:val="auto"/>
                <w:kern w:val="0"/>
                <w:sz w:val="24"/>
                <w:szCs w:val="24"/>
                <w:u w:val="none"/>
                <w:lang w:val="en-US" w:eastAsia="zh-CN" w:bidi="ar"/>
              </w:rPr>
              <w:t>年度</w:t>
            </w:r>
          </w:p>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44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成本指标</w:t>
            </w: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经济成本指标</w:t>
            </w: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单个科研项目补贴强度</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（万元/家）</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≤300</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产出指标</w:t>
            </w:r>
          </w:p>
        </w:tc>
        <w:tc>
          <w:tcPr>
            <w:tcW w:w="4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数量指标</w:t>
            </w: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新增技术开发、技术转让和技术许可合同登记数</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≥90项</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≥30项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新增省级以上科技项目立项数量</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≥15项</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新增认定高新技术企业数量</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≥150家</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≥50家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政策支持企业数量</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1500家次</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500家次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质量指标</w:t>
            </w: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奖补资金发放准确率</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≥95%</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时效指标</w:t>
            </w: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奖补发放的及时率</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100%</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效益指标</w:t>
            </w:r>
          </w:p>
        </w:tc>
        <w:tc>
          <w:tcPr>
            <w:tcW w:w="4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经济效益</w:t>
            </w: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高新区当年企业内部研发费用总额</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≥200亿元</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≥200亿元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新增技术开发、技术转让和技术许可合同技术交易额</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≥15000万元</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≥5000万元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社会效益</w:t>
            </w: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科学普及活动覆盖人数</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≥3万人次</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≥1万人次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11</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带动形成前沿科学研究和自由探索项目数量</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≥360项</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≥120项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12</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孵化器培育高新技术企业数量</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≥60家</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≥20家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13</w:t>
            </w:r>
          </w:p>
        </w:tc>
        <w:tc>
          <w:tcPr>
            <w:tcW w:w="44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满意度指标</w:t>
            </w:r>
          </w:p>
        </w:tc>
        <w:tc>
          <w:tcPr>
            <w:tcW w:w="4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服务对象满意度</w:t>
            </w: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科研人员对政策效果的满意度</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≥90%</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14</w:t>
            </w:r>
          </w:p>
        </w:tc>
        <w:tc>
          <w:tcPr>
            <w:tcW w:w="44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4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202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科技型企业对政策效果的满意度</w:t>
            </w:r>
          </w:p>
        </w:tc>
        <w:tc>
          <w:tcPr>
            <w:tcW w:w="94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≥90%</w:t>
            </w:r>
          </w:p>
        </w:tc>
        <w:tc>
          <w:tcPr>
            <w:tcW w:w="73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≥90%</w:t>
            </w:r>
          </w:p>
        </w:tc>
      </w:tr>
    </w:tbl>
    <w:p>
      <w:pPr>
        <w:pStyle w:val="17"/>
        <w:bidi w:val="0"/>
        <w:rPr>
          <w:rFonts w:hint="default"/>
          <w:color w:val="auto"/>
          <w:lang w:val="en-US" w:eastAsia="zh-CN"/>
        </w:rPr>
      </w:pPr>
    </w:p>
    <w:p>
      <w:pPr>
        <w:pStyle w:val="16"/>
        <w:bidi w:val="0"/>
        <w:rPr>
          <w:rFonts w:hint="eastAsia"/>
          <w:color w:val="auto"/>
          <w:lang w:val="en-US" w:eastAsia="zh-CN"/>
        </w:rPr>
      </w:pPr>
      <w:bookmarkStart w:id="4" w:name="_Toc17795"/>
      <w:r>
        <w:rPr>
          <w:rFonts w:hint="eastAsia"/>
          <w:color w:val="auto"/>
          <w:lang w:val="en-US" w:eastAsia="zh-CN"/>
        </w:rPr>
        <w:t>（三）资金概况</w:t>
      </w:r>
      <w:bookmarkEnd w:id="4"/>
    </w:p>
    <w:p>
      <w:pPr>
        <w:pStyle w:val="18"/>
        <w:bidi w:val="0"/>
        <w:rPr>
          <w:rFonts w:hint="default"/>
          <w:color w:val="auto"/>
          <w:lang w:val="en-US" w:eastAsia="zh-CN"/>
        </w:rPr>
      </w:pPr>
      <w:r>
        <w:rPr>
          <w:rFonts w:hint="eastAsia"/>
          <w:color w:val="auto"/>
          <w:lang w:val="en-US" w:eastAsia="zh-CN"/>
        </w:rPr>
        <w:t>1.政策整体资金安排与支出情况</w:t>
      </w:r>
    </w:p>
    <w:p>
      <w:pPr>
        <w:pStyle w:val="17"/>
        <w:bidi w:val="0"/>
        <w:rPr>
          <w:rFonts w:hint="default"/>
          <w:color w:val="auto"/>
          <w:lang w:val="en-US" w:eastAsia="zh-CN"/>
        </w:rPr>
      </w:pPr>
      <w:r>
        <w:rPr>
          <w:rFonts w:hint="eastAsia"/>
          <w:color w:val="auto"/>
          <w:lang w:val="en-US" w:eastAsia="zh-CN"/>
        </w:rPr>
        <w:t>截至2026年6月30日，政策预算安排总额为11000万元，实际支出金额为7691.41万元，总体预算执行率为69.92%，各项政策措施资金安排与支出情况详见表1-3。</w:t>
      </w:r>
    </w:p>
    <w:p>
      <w:pPr>
        <w:pStyle w:val="19"/>
        <w:bidi w:val="0"/>
        <w:rPr>
          <w:rFonts w:hint="eastAsia"/>
          <w:color w:val="auto"/>
          <w:lang w:val="en-US" w:eastAsia="zh-CN"/>
        </w:rPr>
      </w:pPr>
      <w:r>
        <w:rPr>
          <w:rFonts w:hint="eastAsia"/>
          <w:color w:val="auto"/>
          <w:lang w:val="en-US" w:eastAsia="zh-CN"/>
        </w:rPr>
        <w:t>表1-3 政策2026年预算安排与实际支出情况</w:t>
      </w:r>
      <w:r>
        <w:rPr>
          <w:rStyle w:val="14"/>
          <w:rFonts w:hint="eastAsia"/>
          <w:color w:val="auto"/>
          <w:lang w:val="en-US" w:eastAsia="zh-CN"/>
        </w:rPr>
        <w:t>[</w:t>
      </w:r>
      <w:r>
        <w:rPr>
          <w:rStyle w:val="14"/>
          <w:rFonts w:hint="eastAsia"/>
          <w:color w:val="auto"/>
          <w:lang w:val="en-US" w:eastAsia="zh-CN"/>
        </w:rPr>
        <w:footnoteReference w:id="1"/>
      </w:r>
      <w:r>
        <w:rPr>
          <w:rStyle w:val="14"/>
          <w:rFonts w:hint="eastAsia"/>
          <w:color w:val="auto"/>
          <w:lang w:val="en-US" w:eastAsia="zh-CN"/>
        </w:rPr>
        <w:t>]</w:t>
      </w:r>
    </w:p>
    <w:p>
      <w:pPr>
        <w:pStyle w:val="17"/>
        <w:bidi w:val="0"/>
        <w:jc w:val="right"/>
        <w:rPr>
          <w:rFonts w:hint="default"/>
          <w:color w:val="auto"/>
          <w:sz w:val="24"/>
          <w:szCs w:val="24"/>
          <w:lang w:val="en-US" w:eastAsia="zh-CN"/>
        </w:rPr>
      </w:pPr>
      <w:r>
        <w:rPr>
          <w:rFonts w:hint="eastAsia"/>
          <w:color w:val="auto"/>
          <w:sz w:val="24"/>
          <w:szCs w:val="24"/>
          <w:lang w:val="en-US" w:eastAsia="zh-CN"/>
        </w:rPr>
        <w:t>单位：万元</w:t>
      </w:r>
    </w:p>
    <w:tbl>
      <w:tblPr>
        <w:tblStyle w:val="10"/>
        <w:tblW w:w="5085" w:type="pct"/>
        <w:tblInd w:w="-16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6"/>
        <w:gridCol w:w="3388"/>
        <w:gridCol w:w="1697"/>
        <w:gridCol w:w="1937"/>
        <w:gridCol w:w="15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411"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序号</w:t>
            </w:r>
          </w:p>
        </w:tc>
        <w:tc>
          <w:tcPr>
            <w:tcW w:w="1814"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lang w:val="en-US" w:eastAsia="zh-CN"/>
              </w:rPr>
            </w:pPr>
            <w:r>
              <w:rPr>
                <w:rFonts w:hint="eastAsia" w:ascii="Times New Roman" w:hAnsi="Times New Roman" w:eastAsia="仿宋_GB2312" w:cs="Times New Roman"/>
                <w:b/>
                <w:bCs/>
                <w:i w:val="0"/>
                <w:iCs w:val="0"/>
                <w:color w:val="auto"/>
                <w:sz w:val="24"/>
                <w:szCs w:val="24"/>
                <w:u w:val="none"/>
                <w:lang w:val="en-US" w:eastAsia="zh-CN"/>
              </w:rPr>
              <w:t>政策措施</w:t>
            </w:r>
          </w:p>
        </w:tc>
        <w:tc>
          <w:tcPr>
            <w:tcW w:w="909"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2026年初预算安排金额</w:t>
            </w:r>
          </w:p>
        </w:tc>
        <w:tc>
          <w:tcPr>
            <w:tcW w:w="1038"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实际拨付金额</w:t>
            </w:r>
            <w:r>
              <w:rPr>
                <w:rFonts w:hint="default" w:ascii="Times New Roman" w:hAnsi="Times New Roman" w:eastAsia="仿宋_GB2312" w:cs="Times New Roman"/>
                <w:b/>
                <w:bCs/>
                <w:i w:val="0"/>
                <w:iCs w:val="0"/>
                <w:color w:val="auto"/>
                <w:kern w:val="0"/>
                <w:sz w:val="24"/>
                <w:szCs w:val="24"/>
                <w:u w:val="none"/>
                <w:lang w:val="en-US" w:eastAsia="zh-CN" w:bidi="ar"/>
              </w:rPr>
              <w:br w:type="textWrapping"/>
            </w:r>
            <w:r>
              <w:rPr>
                <w:rFonts w:hint="default" w:ascii="Times New Roman" w:hAnsi="Times New Roman" w:eastAsia="仿宋_GB2312" w:cs="Times New Roman"/>
                <w:b/>
                <w:bCs/>
                <w:i w:val="0"/>
                <w:iCs w:val="0"/>
                <w:color w:val="auto"/>
                <w:kern w:val="0"/>
                <w:sz w:val="24"/>
                <w:szCs w:val="24"/>
                <w:u w:val="none"/>
                <w:lang w:val="en-US" w:eastAsia="zh-CN" w:bidi="ar"/>
              </w:rPr>
              <w:t>（截至2026年6月30日）</w:t>
            </w:r>
          </w:p>
        </w:tc>
        <w:tc>
          <w:tcPr>
            <w:tcW w:w="826"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预算执行率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支持社会资本赋能成果落地</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2000.00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566.89</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28.34%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鼓励科技成果向企业转化</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400.00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118.36</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29.59%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鼓励企业科技成果应用</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200.00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58.51</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29.25%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支持高新技术企业认定</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1100.00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909.00</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82.64%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鼓励企业加大研发投入</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4000.00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3793.21</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94.83%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支持产业技术攻关</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250.00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140.72</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56.29%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支持研发机构建设</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300.00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0.00</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支持概念验证及中试平台建设</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850.00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216.71</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鼓励科技企业优秀孵化器评先争优</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250.00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250.00</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鼓励前沿科学研究和自由科学探索</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lang w:val="en-US"/>
              </w:rPr>
            </w:pPr>
            <w:r>
              <w:rPr>
                <w:rFonts w:hint="default" w:ascii="Times New Roman" w:hAnsi="Times New Roman" w:eastAsia="仿宋_GB2312" w:cs="Times New Roman"/>
                <w:i w:val="0"/>
                <w:iCs w:val="0"/>
                <w:color w:val="auto"/>
                <w:kern w:val="0"/>
                <w:sz w:val="24"/>
                <w:szCs w:val="24"/>
                <w:u w:val="none"/>
                <w:lang w:val="en-US" w:eastAsia="zh-CN" w:bidi="ar"/>
              </w:rPr>
              <w:t>1500.0</w:t>
            </w:r>
            <w:r>
              <w:rPr>
                <w:rFonts w:hint="eastAsia" w:ascii="Times New Roman" w:hAnsi="Times New Roman" w:eastAsia="仿宋_GB2312" w:cs="Times New Roman"/>
                <w:i w:val="0"/>
                <w:iCs w:val="0"/>
                <w:color w:val="auto"/>
                <w:kern w:val="0"/>
                <w:sz w:val="24"/>
                <w:szCs w:val="24"/>
                <w:u w:val="none"/>
                <w:lang w:val="en-US" w:eastAsia="zh-CN" w:bidi="ar"/>
              </w:rPr>
              <w:t>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1500.00</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11</w:t>
            </w:r>
          </w:p>
        </w:tc>
        <w:tc>
          <w:tcPr>
            <w:tcW w:w="181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推动科学普及</w:t>
            </w:r>
          </w:p>
        </w:tc>
        <w:tc>
          <w:tcPr>
            <w:tcW w:w="90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150.00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138.00</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22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合计</w:t>
            </w:r>
          </w:p>
        </w:tc>
        <w:tc>
          <w:tcPr>
            <w:tcW w:w="9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11000.00</w:t>
            </w:r>
          </w:p>
        </w:tc>
        <w:tc>
          <w:tcPr>
            <w:tcW w:w="10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7691.41</w:t>
            </w:r>
          </w:p>
        </w:tc>
        <w:tc>
          <w:tcPr>
            <w:tcW w:w="8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69.92%</w:t>
            </w:r>
          </w:p>
        </w:tc>
      </w:tr>
    </w:tbl>
    <w:p>
      <w:pPr>
        <w:pStyle w:val="17"/>
        <w:bidi w:val="0"/>
        <w:ind w:left="0" w:leftChars="0" w:firstLine="0" w:firstLineChars="0"/>
        <w:rPr>
          <w:rFonts w:hint="eastAsia"/>
          <w:color w:val="auto"/>
          <w:lang w:val="en-US" w:eastAsia="zh-CN"/>
        </w:rPr>
      </w:pPr>
    </w:p>
    <w:p>
      <w:pPr>
        <w:pStyle w:val="18"/>
        <w:bidi w:val="0"/>
        <w:rPr>
          <w:rFonts w:hint="eastAsia"/>
          <w:color w:val="auto"/>
          <w:lang w:val="en-US" w:eastAsia="zh-CN"/>
        </w:rPr>
      </w:pPr>
      <w:r>
        <w:rPr>
          <w:rFonts w:hint="eastAsia"/>
          <w:color w:val="auto"/>
          <w:lang w:val="en-US" w:eastAsia="zh-CN"/>
        </w:rPr>
        <w:t>2.各项政策措施申报与审核拨付情况</w:t>
      </w:r>
    </w:p>
    <w:p>
      <w:pPr>
        <w:pStyle w:val="17"/>
        <w:bidi w:val="0"/>
        <w:rPr>
          <w:rFonts w:hint="eastAsia"/>
          <w:color w:val="auto"/>
        </w:rPr>
      </w:pPr>
      <w:r>
        <w:rPr>
          <w:rFonts w:hint="eastAsia"/>
          <w:b/>
          <w:bCs/>
          <w:color w:val="auto"/>
          <w:lang w:val="en-US" w:eastAsia="zh-CN"/>
        </w:rPr>
        <w:t>一是</w:t>
      </w:r>
      <w:r>
        <w:rPr>
          <w:rFonts w:hint="eastAsia"/>
          <w:b w:val="0"/>
          <w:bCs w:val="0"/>
          <w:color w:val="auto"/>
          <w:lang w:val="en-US" w:eastAsia="zh-CN"/>
        </w:rPr>
        <w:t>普惠性政策申报与审核、资金拨付方面。</w:t>
      </w:r>
      <w:r>
        <w:rPr>
          <w:rFonts w:hint="eastAsia"/>
          <w:b w:val="0"/>
          <w:bCs w:val="0"/>
          <w:color w:val="auto"/>
          <w:highlight w:val="none"/>
          <w:lang w:val="en-US" w:eastAsia="zh-CN"/>
        </w:rPr>
        <w:t>本政策资金兑付主要为事后奖补形式。</w:t>
      </w:r>
      <w:r>
        <w:rPr>
          <w:rFonts w:hint="eastAsia"/>
          <w:color w:val="auto"/>
        </w:rPr>
        <w:t>2025年9月至2026年</w:t>
      </w:r>
      <w:r>
        <w:rPr>
          <w:rFonts w:hint="eastAsia"/>
          <w:color w:val="auto"/>
          <w:lang w:val="en-US" w:eastAsia="zh-CN"/>
        </w:rPr>
        <w:t>3</w:t>
      </w:r>
      <w:r>
        <w:rPr>
          <w:rFonts w:hint="eastAsia"/>
          <w:color w:val="auto"/>
        </w:rPr>
        <w:t>月期间，松山湖科技创新局组织开展2025年度政策申报，共收到634个项目的申报材料，涉及资金总额为6646.73万元。截至2026年6月22日，经过评审、资金公示等系列程序，共拨付政策兑现资金6191.41万元，涉及596个项目</w:t>
      </w:r>
      <w:r>
        <w:rPr>
          <w:rStyle w:val="14"/>
          <w:rFonts w:hint="default"/>
          <w:color w:val="auto"/>
          <w:szCs w:val="44"/>
        </w:rPr>
        <w:t>[</w:t>
      </w:r>
      <w:r>
        <w:rPr>
          <w:rStyle w:val="14"/>
          <w:rFonts w:hint="default" w:cs="方正小标宋简体"/>
          <w:color w:val="auto"/>
          <w:szCs w:val="44"/>
        </w:rPr>
        <w:footnoteReference w:id="2"/>
      </w:r>
      <w:r>
        <w:rPr>
          <w:rStyle w:val="14"/>
          <w:rFonts w:hint="default"/>
          <w:color w:val="auto"/>
          <w:szCs w:val="44"/>
        </w:rPr>
        <w:t>]</w:t>
      </w:r>
      <w:r>
        <w:rPr>
          <w:rFonts w:hint="eastAsia"/>
          <w:color w:val="auto"/>
          <w:szCs w:val="44"/>
          <w:lang w:eastAsia="zh-CN"/>
        </w:rPr>
        <w:t>，467家单位或个人，</w:t>
      </w:r>
      <w:r>
        <w:rPr>
          <w:rFonts w:hint="eastAsia"/>
          <w:color w:val="auto"/>
          <w:szCs w:val="44"/>
          <w:lang w:val="en-US" w:eastAsia="zh-CN"/>
        </w:rPr>
        <w:t>各项政策措施资金申报与审核拨付情况详见表1-4</w:t>
      </w:r>
      <w:r>
        <w:rPr>
          <w:rFonts w:hint="eastAsia"/>
          <w:color w:val="auto"/>
        </w:rPr>
        <w:t>。</w:t>
      </w:r>
      <w:r>
        <w:rPr>
          <w:rFonts w:hint="eastAsia"/>
          <w:b/>
          <w:bCs/>
          <w:color w:val="auto"/>
          <w:lang w:val="en-US" w:eastAsia="zh-CN"/>
        </w:rPr>
        <w:t>二是</w:t>
      </w:r>
      <w:r>
        <w:rPr>
          <w:rFonts w:hint="eastAsia"/>
          <w:b w:val="0"/>
          <w:bCs w:val="0"/>
          <w:color w:val="auto"/>
          <w:lang w:val="en-US" w:eastAsia="zh-CN"/>
        </w:rPr>
        <w:t>广东省基础与应用基础研究基金东莞市联合基金完成情况方面。</w:t>
      </w:r>
      <w:r>
        <w:rPr>
          <w:rFonts w:hint="eastAsia"/>
          <w:color w:val="auto"/>
        </w:rPr>
        <w:t>按照广东省科学技术厅、东莞市人民政府、广东省基础与应用基础研究基金委员会2024年6月签订的《关于共同实施广东省基础与应用基础研究基金东莞市联合基金（第二期）协议》</w:t>
      </w:r>
      <w:r>
        <w:rPr>
          <w:rFonts w:hint="eastAsia"/>
          <w:color w:val="auto"/>
          <w:lang w:eastAsia="zh-CN"/>
        </w:rPr>
        <w:t>，</w:t>
      </w:r>
      <w:r>
        <w:rPr>
          <w:rFonts w:hint="eastAsia"/>
          <w:color w:val="auto"/>
          <w:lang w:val="en-US" w:eastAsia="zh-CN"/>
        </w:rPr>
        <w:t>其中</w:t>
      </w:r>
      <w:r>
        <w:rPr>
          <w:rFonts w:hint="eastAsia"/>
          <w:color w:val="auto"/>
        </w:rPr>
        <w:t>第二条资金投入与管理规定，</w:t>
      </w:r>
      <w:r>
        <w:rPr>
          <w:rFonts w:hint="eastAsia"/>
          <w:color w:val="auto"/>
          <w:lang w:val="en-US" w:eastAsia="zh-CN"/>
        </w:rPr>
        <w:t>松山湖财金局</w:t>
      </w:r>
      <w:r>
        <w:rPr>
          <w:rFonts w:hint="eastAsia"/>
          <w:color w:val="auto"/>
        </w:rPr>
        <w:t>在2026年6月15日拨付2026年广东省基础与应用基础研究基金东莞市联合基金（第二期）1500万元至广东省基础与应用基础研究基金委员会的资金管理账户，保障2026年粤莞联合基金顺利推进及实施。</w:t>
      </w:r>
    </w:p>
    <w:p>
      <w:pPr>
        <w:pStyle w:val="19"/>
        <w:bidi w:val="0"/>
        <w:rPr>
          <w:rFonts w:hint="default"/>
          <w:color w:val="auto"/>
          <w:lang w:val="en-US" w:eastAsia="zh-CN"/>
        </w:rPr>
      </w:pPr>
      <w:r>
        <w:rPr>
          <w:rFonts w:hint="eastAsia"/>
          <w:color w:val="auto"/>
          <w:lang w:val="en-US" w:eastAsia="zh-CN"/>
        </w:rPr>
        <w:t>表1-4 政策申报与资金拨付情况</w:t>
      </w:r>
      <w:r>
        <w:rPr>
          <w:rStyle w:val="14"/>
          <w:rFonts w:hint="eastAsia"/>
          <w:color w:val="auto"/>
          <w:lang w:val="en-US" w:eastAsia="zh-CN"/>
        </w:rPr>
        <w:t>[</w:t>
      </w:r>
      <w:r>
        <w:rPr>
          <w:rStyle w:val="14"/>
          <w:rFonts w:hint="eastAsia"/>
          <w:color w:val="auto"/>
          <w:lang w:val="en-US" w:eastAsia="zh-CN"/>
        </w:rPr>
        <w:footnoteReference w:id="3"/>
      </w:r>
      <w:r>
        <w:rPr>
          <w:rStyle w:val="14"/>
          <w:rFonts w:hint="eastAsia"/>
          <w:color w:val="auto"/>
          <w:lang w:val="en-US" w:eastAsia="zh-CN"/>
        </w:rPr>
        <w:t>]</w:t>
      </w:r>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84"/>
        <w:gridCol w:w="3404"/>
        <w:gridCol w:w="1137"/>
        <w:gridCol w:w="1287"/>
        <w:gridCol w:w="1134"/>
        <w:gridCol w:w="13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482" w:type="pct"/>
            <w:vMerge w:val="restart"/>
            <w:tcBorders>
              <w:top w:val="single" w:color="000000" w:sz="4" w:space="0"/>
              <w:left w:val="single" w:color="000000" w:sz="4" w:space="0"/>
              <w:bottom w:val="single" w:color="000000" w:sz="4" w:space="0"/>
              <w:right w:val="single" w:color="000000" w:sz="4" w:space="0"/>
            </w:tcBorders>
            <w:shd w:val="clear" w:color="auto" w:fill="DBE3F4" w:themeFill="accent1" w:themeFillTint="32"/>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序号</w:t>
            </w:r>
          </w:p>
        </w:tc>
        <w:tc>
          <w:tcPr>
            <w:tcW w:w="1856" w:type="pct"/>
            <w:vMerge w:val="restar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政策措施</w:t>
            </w:r>
          </w:p>
        </w:tc>
        <w:tc>
          <w:tcPr>
            <w:tcW w:w="1322" w:type="pct"/>
            <w:gridSpan w:val="2"/>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政策申报情况</w:t>
            </w:r>
          </w:p>
        </w:tc>
        <w:tc>
          <w:tcPr>
            <w:tcW w:w="1339" w:type="pct"/>
            <w:gridSpan w:val="2"/>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eastAsia" w:ascii="Times New Roman" w:hAnsi="Times New Roman" w:eastAsia="仿宋_GB2312" w:cs="Times New Roman"/>
                <w:b/>
                <w:bCs/>
                <w:i w:val="0"/>
                <w:iCs w:val="0"/>
                <w:color w:val="auto"/>
                <w:kern w:val="0"/>
                <w:sz w:val="24"/>
                <w:szCs w:val="24"/>
                <w:u w:val="none"/>
                <w:lang w:val="en-US" w:eastAsia="zh-CN" w:bidi="ar"/>
              </w:rPr>
            </w:pPr>
            <w:r>
              <w:rPr>
                <w:rFonts w:hint="default" w:ascii="Times New Roman" w:hAnsi="Times New Roman" w:eastAsia="仿宋_GB2312" w:cs="Times New Roman"/>
                <w:b/>
                <w:bCs/>
                <w:i w:val="0"/>
                <w:iCs w:val="0"/>
                <w:color w:val="auto"/>
                <w:kern w:val="0"/>
                <w:sz w:val="24"/>
                <w:szCs w:val="24"/>
                <w:u w:val="none"/>
                <w:lang w:val="en-US" w:eastAsia="zh-CN" w:bidi="ar"/>
              </w:rPr>
              <w:t>政策实际</w:t>
            </w:r>
            <w:r>
              <w:rPr>
                <w:rFonts w:hint="eastAsia" w:ascii="Times New Roman" w:hAnsi="Times New Roman" w:eastAsia="仿宋_GB2312" w:cs="Times New Roman"/>
                <w:b/>
                <w:bCs/>
                <w:i w:val="0"/>
                <w:iCs w:val="0"/>
                <w:color w:val="auto"/>
                <w:kern w:val="0"/>
                <w:sz w:val="24"/>
                <w:szCs w:val="24"/>
                <w:u w:val="none"/>
                <w:lang w:val="en-US" w:eastAsia="zh-CN" w:bidi="ar"/>
              </w:rPr>
              <w:t>审核</w:t>
            </w:r>
          </w:p>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eastAsia" w:ascii="Times New Roman" w:hAnsi="Times New Roman" w:eastAsia="仿宋_GB2312" w:cs="Times New Roman"/>
                <w:b/>
                <w:bCs/>
                <w:i w:val="0"/>
                <w:iCs w:val="0"/>
                <w:color w:val="auto"/>
                <w:kern w:val="0"/>
                <w:sz w:val="24"/>
                <w:szCs w:val="24"/>
                <w:u w:val="none"/>
                <w:lang w:val="en-US" w:eastAsia="zh-CN" w:bidi="ar"/>
              </w:rPr>
              <w:t>拨付</w:t>
            </w:r>
            <w:r>
              <w:rPr>
                <w:rFonts w:hint="default" w:ascii="Times New Roman" w:hAnsi="Times New Roman" w:eastAsia="仿宋_GB2312" w:cs="Times New Roman"/>
                <w:b/>
                <w:bCs/>
                <w:i w:val="0"/>
                <w:iCs w:val="0"/>
                <w:color w:val="auto"/>
                <w:kern w:val="0"/>
                <w:sz w:val="24"/>
                <w:szCs w:val="24"/>
                <w:u w:val="none"/>
                <w:lang w:val="en-US" w:eastAsia="zh-CN" w:bidi="ar"/>
              </w:rPr>
              <w:t>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blHeader/>
        </w:trPr>
        <w:tc>
          <w:tcPr>
            <w:tcW w:w="482" w:type="pct"/>
            <w:vMerge w:val="continue"/>
            <w:tcBorders>
              <w:top w:val="single" w:color="000000" w:sz="4" w:space="0"/>
              <w:left w:val="single" w:color="000000" w:sz="4" w:space="0"/>
              <w:bottom w:val="single" w:color="000000" w:sz="4" w:space="0"/>
              <w:right w:val="single" w:color="000000" w:sz="4" w:space="0"/>
            </w:tcBorders>
            <w:shd w:val="clear" w:color="auto" w:fill="DBE3F4" w:themeFill="accent1" w:themeFillTint="32"/>
            <w:noWrap/>
            <w:vAlign w:val="center"/>
          </w:tcPr>
          <w:p>
            <w:pPr>
              <w:jc w:val="center"/>
              <w:rPr>
                <w:rFonts w:hint="default" w:ascii="Times New Roman" w:hAnsi="Times New Roman" w:eastAsia="仿宋_GB2312" w:cs="Times New Roman"/>
                <w:b/>
                <w:bCs/>
                <w:i w:val="0"/>
                <w:iCs w:val="0"/>
                <w:color w:val="auto"/>
                <w:sz w:val="24"/>
                <w:szCs w:val="24"/>
                <w:u w:val="none"/>
              </w:rPr>
            </w:pPr>
          </w:p>
        </w:tc>
        <w:tc>
          <w:tcPr>
            <w:tcW w:w="1856" w:type="pct"/>
            <w:vMerge w:val="continue"/>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jc w:val="center"/>
              <w:rPr>
                <w:rFonts w:hint="default" w:ascii="Times New Roman" w:hAnsi="Times New Roman" w:eastAsia="仿宋_GB2312" w:cs="Times New Roman"/>
                <w:b/>
                <w:bCs/>
                <w:i w:val="0"/>
                <w:iCs w:val="0"/>
                <w:color w:val="auto"/>
                <w:sz w:val="24"/>
                <w:szCs w:val="24"/>
                <w:u w:val="none"/>
              </w:rPr>
            </w:pPr>
          </w:p>
        </w:tc>
        <w:tc>
          <w:tcPr>
            <w:tcW w:w="620"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数量（项）</w:t>
            </w:r>
          </w:p>
        </w:tc>
        <w:tc>
          <w:tcPr>
            <w:tcW w:w="701"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0"/>
                <w:sz w:val="24"/>
                <w:szCs w:val="24"/>
                <w:u w:val="none"/>
                <w:lang w:val="en-US" w:eastAsia="zh-CN" w:bidi="ar"/>
              </w:rPr>
            </w:pPr>
            <w:r>
              <w:rPr>
                <w:rFonts w:hint="default" w:ascii="Times New Roman" w:hAnsi="Times New Roman" w:eastAsia="仿宋_GB2312" w:cs="Times New Roman"/>
                <w:b/>
                <w:bCs/>
                <w:i w:val="0"/>
                <w:iCs w:val="0"/>
                <w:color w:val="auto"/>
                <w:kern w:val="0"/>
                <w:sz w:val="24"/>
                <w:szCs w:val="24"/>
                <w:u w:val="none"/>
                <w:lang w:val="en-US" w:eastAsia="zh-CN" w:bidi="ar"/>
              </w:rPr>
              <w:t>金额</w:t>
            </w:r>
          </w:p>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（万元）</w:t>
            </w:r>
          </w:p>
        </w:tc>
        <w:tc>
          <w:tcPr>
            <w:tcW w:w="618"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0"/>
                <w:sz w:val="24"/>
                <w:szCs w:val="24"/>
                <w:u w:val="none"/>
                <w:lang w:val="en-US" w:eastAsia="zh-CN" w:bidi="ar"/>
              </w:rPr>
            </w:pPr>
            <w:r>
              <w:rPr>
                <w:rFonts w:hint="default" w:ascii="Times New Roman" w:hAnsi="Times New Roman" w:eastAsia="仿宋_GB2312" w:cs="Times New Roman"/>
                <w:b/>
                <w:bCs/>
                <w:i w:val="0"/>
                <w:iCs w:val="0"/>
                <w:color w:val="auto"/>
                <w:kern w:val="0"/>
                <w:sz w:val="24"/>
                <w:szCs w:val="24"/>
                <w:u w:val="none"/>
                <w:lang w:val="en-US" w:eastAsia="zh-CN" w:bidi="ar"/>
              </w:rPr>
              <w:t>数量</w:t>
            </w:r>
          </w:p>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（项）</w:t>
            </w:r>
          </w:p>
        </w:tc>
        <w:tc>
          <w:tcPr>
            <w:tcW w:w="720"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kern w:val="0"/>
                <w:sz w:val="24"/>
                <w:szCs w:val="24"/>
                <w:u w:val="none"/>
                <w:lang w:val="en-US" w:eastAsia="zh-CN" w:bidi="ar"/>
              </w:rPr>
            </w:pPr>
            <w:r>
              <w:rPr>
                <w:rFonts w:hint="default" w:ascii="Times New Roman" w:hAnsi="Times New Roman" w:eastAsia="仿宋_GB2312" w:cs="Times New Roman"/>
                <w:b/>
                <w:bCs/>
                <w:i w:val="0"/>
                <w:iCs w:val="0"/>
                <w:color w:val="auto"/>
                <w:kern w:val="0"/>
                <w:sz w:val="24"/>
                <w:szCs w:val="24"/>
                <w:u w:val="none"/>
                <w:lang w:val="en-US" w:eastAsia="zh-CN" w:bidi="ar"/>
              </w:rPr>
              <w:t>金额</w:t>
            </w:r>
          </w:p>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支持社会资本赋能成果落地</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566.89</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566.89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鼓励科技成果向企业转化</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121.36</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49</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118.36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鼓励企业科技成果应用</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58.51</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58.51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支持高新技术企业认定</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230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918.00</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227</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909.00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鼓励企业加大研发投入</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273</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3971.47</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250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3793.21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支持产业技术攻关</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23</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390.78</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14</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140.72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支持研发机构建设</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0.00</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支持概念验证中心及中试平台建设</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216.71</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216.71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鼓励科技企业孵化器评先争优</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250.00</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48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185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推动科学普及（科学副校长、科普阵地）</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32</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153.00</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30</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138.00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3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bidi="ar"/>
              </w:rPr>
              <w:t>合计</w:t>
            </w:r>
          </w:p>
        </w:tc>
        <w:tc>
          <w:tcPr>
            <w:tcW w:w="6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bidi="ar"/>
              </w:rPr>
              <w:t>634</w:t>
            </w:r>
          </w:p>
        </w:tc>
        <w:tc>
          <w:tcPr>
            <w:tcW w:w="70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bidi="ar"/>
              </w:rPr>
              <w:t>6646.73</w:t>
            </w:r>
          </w:p>
        </w:tc>
        <w:tc>
          <w:tcPr>
            <w:tcW w:w="61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bidi="ar"/>
              </w:rPr>
              <w:t>596</w:t>
            </w:r>
          </w:p>
        </w:tc>
        <w:tc>
          <w:tcPr>
            <w:tcW w:w="720"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b w:val="0"/>
                <w:bCs w:val="0"/>
                <w:i w:val="0"/>
                <w:iCs w:val="0"/>
                <w:color w:val="auto"/>
                <w:sz w:val="24"/>
                <w:szCs w:val="24"/>
                <w:u w:val="none"/>
              </w:rPr>
            </w:pPr>
            <w:r>
              <w:rPr>
                <w:rFonts w:hint="default" w:ascii="Times New Roman" w:hAnsi="Times New Roman" w:eastAsia="仿宋_GB2312" w:cs="Times New Roman"/>
                <w:b w:val="0"/>
                <w:bCs w:val="0"/>
                <w:i w:val="0"/>
                <w:iCs w:val="0"/>
                <w:color w:val="auto"/>
                <w:kern w:val="0"/>
                <w:sz w:val="24"/>
                <w:szCs w:val="24"/>
                <w:u w:val="none"/>
                <w:lang w:val="en-US" w:eastAsia="zh-CN" w:bidi="ar"/>
              </w:rPr>
              <w:t>6191.41</w:t>
            </w:r>
          </w:p>
        </w:tc>
      </w:tr>
    </w:tbl>
    <w:p>
      <w:pPr>
        <w:pStyle w:val="17"/>
        <w:bidi w:val="0"/>
        <w:rPr>
          <w:rFonts w:hint="eastAsia"/>
          <w:color w:val="auto"/>
          <w:lang w:val="en-US" w:eastAsia="zh-CN"/>
        </w:rPr>
      </w:pPr>
    </w:p>
    <w:p>
      <w:pPr>
        <w:pStyle w:val="15"/>
        <w:bidi w:val="0"/>
        <w:rPr>
          <w:rFonts w:hint="default"/>
          <w:color w:val="auto"/>
          <w:highlight w:val="none"/>
          <w:lang w:val="en-US" w:eastAsia="zh-CN"/>
        </w:rPr>
      </w:pPr>
      <w:bookmarkStart w:id="5" w:name="_Toc6971"/>
      <w:r>
        <w:rPr>
          <w:rFonts w:hint="eastAsia"/>
          <w:color w:val="auto"/>
          <w:highlight w:val="none"/>
          <w:lang w:val="en-US" w:eastAsia="zh-CN"/>
        </w:rPr>
        <w:t>二、绩效评价结论</w:t>
      </w:r>
      <w:bookmarkEnd w:id="5"/>
    </w:p>
    <w:p>
      <w:pPr>
        <w:pStyle w:val="17"/>
        <w:bidi w:val="0"/>
        <w:rPr>
          <w:rFonts w:hint="eastAsia" w:ascii="Times New Roman" w:hAnsi="Times New Roman" w:eastAsia="黑体" w:cs="黑体"/>
          <w:color w:val="auto"/>
          <w:kern w:val="2"/>
          <w:sz w:val="28"/>
          <w:szCs w:val="28"/>
          <w:highlight w:val="yellow"/>
        </w:rPr>
      </w:pPr>
      <w:r>
        <w:rPr>
          <w:rFonts w:hint="eastAsia"/>
          <w:color w:val="auto"/>
          <w:highlight w:val="none"/>
          <w:lang w:val="en-US"/>
        </w:rPr>
        <w:t>依据既定的指标体系和评分标准（详见附件</w:t>
      </w:r>
      <w:r>
        <w:rPr>
          <w:rFonts w:hint="default"/>
          <w:color w:val="auto"/>
          <w:highlight w:val="none"/>
          <w:lang w:val="en-US"/>
        </w:rPr>
        <w:t>1）</w:t>
      </w:r>
      <w:r>
        <w:rPr>
          <w:rFonts w:hint="eastAsia"/>
          <w:color w:val="auto"/>
          <w:highlight w:val="none"/>
          <w:lang w:val="en-US"/>
        </w:rPr>
        <w:t>，评价小组对</w:t>
      </w:r>
      <w:r>
        <w:rPr>
          <w:rFonts w:hint="eastAsia"/>
          <w:color w:val="auto"/>
          <w:highlight w:val="none"/>
          <w:lang w:val="en-US" w:eastAsia="zh-CN"/>
        </w:rPr>
        <w:t>2025年9月至2026年6月东莞松山湖科技赋能产业高质量发展实施办法政策实施</w:t>
      </w:r>
      <w:r>
        <w:rPr>
          <w:rFonts w:hint="default"/>
          <w:color w:val="auto"/>
          <w:highlight w:val="none"/>
          <w:lang w:val="en-US"/>
        </w:rPr>
        <w:t>情况进行综合分析，</w:t>
      </w:r>
      <w:r>
        <w:rPr>
          <w:rFonts w:hint="eastAsia"/>
          <w:color w:val="auto"/>
          <w:highlight w:val="none"/>
          <w:lang w:val="en-US" w:eastAsia="zh-CN"/>
        </w:rPr>
        <w:t>形成综合评价结论</w:t>
      </w:r>
      <w:r>
        <w:rPr>
          <w:rFonts w:hint="default"/>
          <w:color w:val="auto"/>
          <w:highlight w:val="none"/>
          <w:lang w:val="en-US"/>
        </w:rPr>
        <w:t>：</w:t>
      </w:r>
      <w:r>
        <w:rPr>
          <w:rFonts w:hint="eastAsia"/>
          <w:color w:val="auto"/>
          <w:highlight w:val="none"/>
          <w:lang w:val="en-US" w:eastAsia="zh-CN"/>
        </w:rPr>
        <w:t>东莞松山湖科技赋能产业高质量发展实施办法政策出台后，对提升本地区科技创新能力，促进科技成果转化，提升科技服务能力等方面具备一定成效，但在部分政策措施制定</w:t>
      </w:r>
      <w:r>
        <w:rPr>
          <w:rFonts w:hint="default"/>
          <w:color w:val="auto"/>
          <w:highlight w:val="none"/>
          <w:lang w:val="en-US"/>
        </w:rPr>
        <w:t>、</w:t>
      </w:r>
      <w:r>
        <w:rPr>
          <w:rFonts w:hint="eastAsia"/>
          <w:color w:val="auto"/>
          <w:highlight w:val="none"/>
          <w:lang w:val="en-US" w:eastAsia="zh-CN"/>
        </w:rPr>
        <w:t>组织实施</w:t>
      </w:r>
      <w:r>
        <w:rPr>
          <w:rFonts w:hint="default"/>
          <w:color w:val="auto"/>
          <w:highlight w:val="none"/>
          <w:lang w:val="en-US"/>
        </w:rPr>
        <w:t>、绩效管理等方面</w:t>
      </w:r>
      <w:r>
        <w:rPr>
          <w:rFonts w:hint="eastAsia"/>
          <w:color w:val="auto"/>
          <w:highlight w:val="none"/>
          <w:lang w:val="en-US" w:eastAsia="zh-CN"/>
        </w:rPr>
        <w:t>还</w:t>
      </w:r>
      <w:r>
        <w:rPr>
          <w:rFonts w:hint="default"/>
          <w:color w:val="auto"/>
          <w:highlight w:val="none"/>
          <w:lang w:val="en-US"/>
        </w:rPr>
        <w:t>存在</w:t>
      </w:r>
      <w:r>
        <w:rPr>
          <w:rFonts w:hint="eastAsia"/>
          <w:color w:val="auto"/>
          <w:highlight w:val="none"/>
          <w:lang w:val="en-US" w:eastAsia="zh-CN"/>
        </w:rPr>
        <w:t>优化提升空间</w:t>
      </w:r>
      <w:r>
        <w:rPr>
          <w:rFonts w:hint="default"/>
          <w:color w:val="auto"/>
          <w:highlight w:val="none"/>
          <w:lang w:val="en-US"/>
        </w:rPr>
        <w:t>。综合评定</w:t>
      </w:r>
      <w:r>
        <w:rPr>
          <w:rFonts w:hint="eastAsia"/>
          <w:color w:val="auto"/>
          <w:highlight w:val="none"/>
          <w:lang w:val="en-US" w:eastAsia="zh-CN"/>
        </w:rPr>
        <w:t>东莞松山湖科技赋能产业高质量发展实施办法政策实施情况</w:t>
      </w:r>
      <w:r>
        <w:rPr>
          <w:color w:val="auto"/>
          <w:highlight w:val="none"/>
          <w:lang w:val="en-US"/>
        </w:rPr>
        <w:t>绩效得分为：</w:t>
      </w:r>
      <w:r>
        <w:rPr>
          <w:rFonts w:hint="eastAsia"/>
          <w:color w:val="auto"/>
          <w:highlight w:val="none"/>
          <w:lang w:val="en-US" w:eastAsia="zh-CN"/>
        </w:rPr>
        <w:t>85.77</w:t>
      </w:r>
      <w:r>
        <w:rPr>
          <w:rFonts w:hint="eastAsia"/>
          <w:color w:val="auto"/>
          <w:highlight w:val="none"/>
          <w:lang w:val="en-US"/>
        </w:rPr>
        <w:t>分，等级为“</w:t>
      </w:r>
      <w:r>
        <w:rPr>
          <w:rFonts w:hint="eastAsia"/>
          <w:color w:val="auto"/>
          <w:highlight w:val="none"/>
          <w:lang w:val="en-US" w:eastAsia="zh-CN"/>
        </w:rPr>
        <w:t>良</w:t>
      </w:r>
      <w:r>
        <w:rPr>
          <w:rFonts w:hint="eastAsia"/>
          <w:color w:val="auto"/>
          <w:highlight w:val="none"/>
          <w:lang w:val="en-US"/>
        </w:rPr>
        <w:t>”。</w:t>
      </w:r>
      <w:bookmarkStart w:id="6" w:name="_Toc13119"/>
      <w:bookmarkStart w:id="7" w:name="_Toc15989"/>
      <w:bookmarkStart w:id="8" w:name="_Toc24632"/>
    </w:p>
    <w:p>
      <w:pPr>
        <w:pStyle w:val="19"/>
        <w:keepNext w:val="0"/>
        <w:keepLines w:val="0"/>
        <w:pageBreakBefore w:val="0"/>
        <w:widowControl w:val="0"/>
        <w:kinsoku/>
        <w:wordWrap/>
        <w:overflowPunct/>
        <w:topLinePunct w:val="0"/>
        <w:autoSpaceDE/>
        <w:autoSpaceDN/>
        <w:bidi w:val="0"/>
        <w:adjustRightInd/>
        <w:snapToGrid/>
        <w:textAlignment w:val="auto"/>
        <w:rPr>
          <w:rFonts w:hint="eastAsia"/>
          <w:color w:val="auto"/>
        </w:rPr>
      </w:pPr>
      <w:r>
        <w:rPr>
          <w:rFonts w:hint="eastAsia"/>
          <w:color w:val="auto"/>
        </w:rPr>
        <w:t>表</w:t>
      </w:r>
      <w:r>
        <w:rPr>
          <w:rFonts w:hint="eastAsia"/>
          <w:color w:val="auto"/>
          <w:lang w:val="en-US" w:eastAsia="zh-CN"/>
        </w:rPr>
        <w:t>2-</w:t>
      </w:r>
      <w:r>
        <w:rPr>
          <w:rFonts w:hint="default"/>
          <w:color w:val="auto"/>
          <w:lang w:val="en-US" w:eastAsia="zh-CN"/>
        </w:rPr>
        <w:t>1</w:t>
      </w:r>
      <w:r>
        <w:rPr>
          <w:rFonts w:hint="eastAsia"/>
          <w:color w:val="auto"/>
          <w:lang w:val="en-US" w:eastAsia="zh-CN"/>
        </w:rPr>
        <w:t xml:space="preserve"> </w:t>
      </w:r>
      <w:r>
        <w:rPr>
          <w:rFonts w:hint="eastAsia"/>
          <w:color w:val="auto"/>
        </w:rPr>
        <w:t>评价情况总表</w:t>
      </w:r>
      <w:bookmarkEnd w:id="6"/>
      <w:bookmarkEnd w:id="7"/>
      <w:bookmarkEnd w:id="8"/>
    </w:p>
    <w:tbl>
      <w:tblPr>
        <w:tblStyle w:val="10"/>
        <w:tblW w:w="916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91"/>
        <w:gridCol w:w="2507"/>
        <w:gridCol w:w="2275"/>
        <w:gridCol w:w="229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091" w:type="dxa"/>
            <w:tcBorders>
              <w:top w:val="single" w:color="000000" w:sz="4" w:space="0"/>
              <w:left w:val="single" w:color="000000" w:sz="4" w:space="0"/>
              <w:bottom w:val="single" w:color="000000" w:sz="4" w:space="0"/>
              <w:right w:val="single" w:color="000000" w:sz="4" w:space="0"/>
            </w:tcBorders>
            <w:shd w:val="clear" w:color="auto" w:fill="DCE6F2"/>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ascii="仿宋_GB2312" w:hAnsi="宋体" w:eastAsia="仿宋_GB2312" w:cs="仿宋_GB2312"/>
                <w:b/>
                <w:bCs/>
                <w:i w:val="0"/>
                <w:iCs w:val="0"/>
                <w:color w:val="auto"/>
                <w:sz w:val="24"/>
                <w:szCs w:val="24"/>
                <w:u w:val="none"/>
              </w:rPr>
            </w:pPr>
            <w:r>
              <w:rPr>
                <w:rFonts w:hint="eastAsia" w:ascii="仿宋_GB2312" w:hAnsi="宋体" w:eastAsia="仿宋_GB2312" w:cs="仿宋_GB2312"/>
                <w:b/>
                <w:bCs/>
                <w:i w:val="0"/>
                <w:iCs w:val="0"/>
                <w:color w:val="auto"/>
                <w:kern w:val="0"/>
                <w:sz w:val="24"/>
                <w:szCs w:val="24"/>
                <w:u w:val="none"/>
                <w:lang w:val="en-US" w:eastAsia="zh-CN" w:bidi="ar"/>
              </w:rPr>
              <w:t>评价指标</w:t>
            </w:r>
          </w:p>
        </w:tc>
        <w:tc>
          <w:tcPr>
            <w:tcW w:w="2507" w:type="dxa"/>
            <w:tcBorders>
              <w:top w:val="single" w:color="000000" w:sz="4" w:space="0"/>
              <w:left w:val="single" w:color="000000" w:sz="4" w:space="0"/>
              <w:bottom w:val="single" w:color="000000" w:sz="4" w:space="0"/>
              <w:right w:val="single" w:color="000000" w:sz="4" w:space="0"/>
            </w:tcBorders>
            <w:shd w:val="clear" w:color="auto" w:fill="DCE6F2"/>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eastAsia" w:ascii="仿宋_GB2312" w:hAnsi="宋体" w:eastAsia="仿宋_GB2312" w:cs="仿宋_GB2312"/>
                <w:b/>
                <w:bCs/>
                <w:i w:val="0"/>
                <w:iCs w:val="0"/>
                <w:color w:val="auto"/>
                <w:sz w:val="24"/>
                <w:szCs w:val="24"/>
                <w:u w:val="none"/>
              </w:rPr>
            </w:pPr>
            <w:r>
              <w:rPr>
                <w:rFonts w:hint="eastAsia" w:ascii="仿宋_GB2312" w:hAnsi="宋体" w:eastAsia="仿宋_GB2312" w:cs="仿宋_GB2312"/>
                <w:b/>
                <w:bCs/>
                <w:i w:val="0"/>
                <w:iCs w:val="0"/>
                <w:color w:val="auto"/>
                <w:kern w:val="0"/>
                <w:sz w:val="24"/>
                <w:szCs w:val="24"/>
                <w:u w:val="none"/>
                <w:lang w:val="en-US" w:eastAsia="zh-CN" w:bidi="ar"/>
              </w:rPr>
              <w:t>指标分值（分）</w:t>
            </w:r>
          </w:p>
        </w:tc>
        <w:tc>
          <w:tcPr>
            <w:tcW w:w="2275" w:type="dxa"/>
            <w:tcBorders>
              <w:top w:val="single" w:color="000000" w:sz="4" w:space="0"/>
              <w:left w:val="single" w:color="000000" w:sz="4" w:space="0"/>
              <w:bottom w:val="single" w:color="000000" w:sz="4" w:space="0"/>
              <w:right w:val="single" w:color="000000" w:sz="4" w:space="0"/>
            </w:tcBorders>
            <w:shd w:val="clear" w:color="auto" w:fill="DCE6F2"/>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eastAsia" w:ascii="仿宋_GB2312" w:hAnsi="宋体" w:eastAsia="仿宋_GB2312" w:cs="仿宋_GB2312"/>
                <w:b/>
                <w:bCs/>
                <w:i w:val="0"/>
                <w:iCs w:val="0"/>
                <w:color w:val="auto"/>
                <w:sz w:val="24"/>
                <w:szCs w:val="24"/>
                <w:u w:val="none"/>
              </w:rPr>
            </w:pPr>
            <w:r>
              <w:rPr>
                <w:rFonts w:hint="eastAsia" w:ascii="仿宋_GB2312" w:hAnsi="宋体" w:eastAsia="仿宋_GB2312" w:cs="仿宋_GB2312"/>
                <w:b/>
                <w:bCs/>
                <w:i w:val="0"/>
                <w:iCs w:val="0"/>
                <w:color w:val="auto"/>
                <w:kern w:val="0"/>
                <w:sz w:val="24"/>
                <w:szCs w:val="24"/>
                <w:u w:val="none"/>
                <w:lang w:val="en-US" w:eastAsia="zh-CN" w:bidi="ar"/>
              </w:rPr>
              <w:t>评价得分（分）</w:t>
            </w:r>
          </w:p>
        </w:tc>
        <w:tc>
          <w:tcPr>
            <w:tcW w:w="2294" w:type="dxa"/>
            <w:tcBorders>
              <w:top w:val="single" w:color="000000" w:sz="4" w:space="0"/>
              <w:left w:val="single" w:color="000000" w:sz="4" w:space="0"/>
              <w:bottom w:val="single" w:color="000000" w:sz="4" w:space="0"/>
              <w:right w:val="single" w:color="000000" w:sz="4" w:space="0"/>
            </w:tcBorders>
            <w:shd w:val="clear" w:color="auto" w:fill="DCE6F2"/>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eastAsia" w:ascii="仿宋_GB2312" w:hAnsi="宋体" w:eastAsia="仿宋_GB2312" w:cs="仿宋_GB2312"/>
                <w:b/>
                <w:bCs/>
                <w:i w:val="0"/>
                <w:iCs w:val="0"/>
                <w:color w:val="auto"/>
                <w:sz w:val="24"/>
                <w:szCs w:val="24"/>
                <w:u w:val="none"/>
              </w:rPr>
            </w:pPr>
            <w:r>
              <w:rPr>
                <w:rFonts w:hint="eastAsia" w:ascii="仿宋_GB2312" w:hAnsi="宋体" w:eastAsia="仿宋_GB2312" w:cs="仿宋_GB2312"/>
                <w:b/>
                <w:bCs/>
                <w:i w:val="0"/>
                <w:iCs w:val="0"/>
                <w:color w:val="auto"/>
                <w:kern w:val="0"/>
                <w:sz w:val="24"/>
                <w:szCs w:val="24"/>
                <w:u w:val="none"/>
                <w:lang w:val="en-US" w:eastAsia="zh-CN" w:bidi="ar"/>
              </w:rPr>
              <w:t>得分率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eastAsia" w:ascii="仿宋_GB2312" w:hAnsi="宋体" w:eastAsia="仿宋_GB2312" w:cs="仿宋_GB2312"/>
                <w:b/>
                <w:bCs/>
                <w:i w:val="0"/>
                <w:iCs w:val="0"/>
                <w:color w:val="auto"/>
                <w:sz w:val="24"/>
                <w:szCs w:val="24"/>
                <w:u w:val="none"/>
              </w:rPr>
            </w:pPr>
            <w:r>
              <w:rPr>
                <w:rFonts w:hint="eastAsia" w:ascii="仿宋_GB2312" w:hAnsi="宋体" w:eastAsia="仿宋_GB2312" w:cs="仿宋_GB2312"/>
                <w:b/>
                <w:bCs/>
                <w:i w:val="0"/>
                <w:iCs w:val="0"/>
                <w:color w:val="auto"/>
                <w:kern w:val="0"/>
                <w:sz w:val="24"/>
                <w:szCs w:val="24"/>
                <w:u w:val="none"/>
                <w:lang w:val="en-US" w:eastAsia="zh-CN" w:bidi="ar"/>
              </w:rPr>
              <w:t>评价总得分</w:t>
            </w:r>
          </w:p>
        </w:tc>
        <w:tc>
          <w:tcPr>
            <w:tcW w:w="2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default" w:ascii="Times New Roman" w:hAnsi="Times New Roman" w:eastAsia="宋体" w:cs="Times New Roman"/>
                <w:b/>
                <w:bCs/>
                <w:i w:val="0"/>
                <w:iCs w:val="0"/>
                <w:color w:val="auto"/>
                <w:kern w:val="0"/>
                <w:sz w:val="24"/>
                <w:szCs w:val="24"/>
                <w:u w:val="none"/>
                <w:lang w:val="en-US" w:eastAsia="zh-CN" w:bidi="ar"/>
              </w:rPr>
              <w:t>100.00</w:t>
            </w:r>
          </w:p>
        </w:tc>
        <w:tc>
          <w:tcPr>
            <w:tcW w:w="2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b/>
                <w:bCs/>
                <w:i w:val="0"/>
                <w:iCs w:val="0"/>
                <w:color w:val="auto"/>
                <w:sz w:val="24"/>
                <w:szCs w:val="24"/>
                <w:u w:val="none"/>
                <w:lang w:val="en-US"/>
              </w:rPr>
            </w:pPr>
            <w:r>
              <w:rPr>
                <w:rFonts w:hint="eastAsia" w:ascii="Times New Roman" w:hAnsi="Times New Roman" w:eastAsia="宋体" w:cs="Times New Roman"/>
                <w:b/>
                <w:bCs/>
                <w:i w:val="0"/>
                <w:iCs w:val="0"/>
                <w:color w:val="auto"/>
                <w:kern w:val="0"/>
                <w:sz w:val="24"/>
                <w:szCs w:val="24"/>
                <w:u w:val="none"/>
                <w:lang w:val="en-US" w:eastAsia="zh-CN" w:bidi="ar"/>
              </w:rPr>
              <w:t>85.77</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b/>
                <w:bCs/>
                <w:i w:val="0"/>
                <w:iCs w:val="0"/>
                <w:color w:val="auto"/>
                <w:sz w:val="24"/>
                <w:szCs w:val="24"/>
                <w:u w:val="none"/>
              </w:rPr>
            </w:pPr>
            <w:r>
              <w:rPr>
                <w:rFonts w:hint="eastAsia" w:ascii="Times New Roman" w:hAnsi="Times New Roman" w:eastAsia="宋体" w:cs="Times New Roman"/>
                <w:b/>
                <w:bCs/>
                <w:i w:val="0"/>
                <w:iCs w:val="0"/>
                <w:color w:val="auto"/>
                <w:kern w:val="0"/>
                <w:sz w:val="24"/>
                <w:szCs w:val="24"/>
                <w:u w:val="none"/>
                <w:lang w:val="en-US" w:eastAsia="zh-CN" w:bidi="ar"/>
              </w:rPr>
              <w:t>85.77</w:t>
            </w:r>
            <w:r>
              <w:rPr>
                <w:rFonts w:hint="default" w:ascii="Times New Roman" w:hAnsi="Times New Roman" w:eastAsia="宋体" w:cs="Times New Roman"/>
                <w:b/>
                <w:bCs/>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一、决策</w:t>
            </w:r>
          </w:p>
        </w:tc>
        <w:tc>
          <w:tcPr>
            <w:tcW w:w="2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16.00</w:t>
            </w:r>
          </w:p>
        </w:tc>
        <w:tc>
          <w:tcPr>
            <w:tcW w:w="2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12.00</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75.00%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二、过程</w:t>
            </w:r>
          </w:p>
        </w:tc>
        <w:tc>
          <w:tcPr>
            <w:tcW w:w="2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24.00</w:t>
            </w:r>
          </w:p>
        </w:tc>
        <w:tc>
          <w:tcPr>
            <w:tcW w:w="2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21.00</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87.50</w:t>
            </w:r>
            <w:r>
              <w:rPr>
                <w:rFonts w:hint="default" w:ascii="Times New Roman" w:hAnsi="Times New Roman" w:eastAsia="宋体" w:cs="Times New Roman"/>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三、产出</w:t>
            </w:r>
          </w:p>
        </w:tc>
        <w:tc>
          <w:tcPr>
            <w:tcW w:w="2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30.00</w:t>
            </w:r>
          </w:p>
        </w:tc>
        <w:tc>
          <w:tcPr>
            <w:tcW w:w="2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28.02</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93.40</w:t>
            </w:r>
            <w:r>
              <w:rPr>
                <w:rFonts w:hint="default" w:ascii="Times New Roman" w:hAnsi="Times New Roman" w:eastAsia="宋体" w:cs="Times New Roman"/>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eastAsia" w:ascii="仿宋_GB2312" w:hAnsi="宋体"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四、效益</w:t>
            </w:r>
          </w:p>
        </w:tc>
        <w:tc>
          <w:tcPr>
            <w:tcW w:w="250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default" w:ascii="Times New Roman" w:hAnsi="Times New Roman" w:eastAsia="宋体" w:cs="Times New Roman"/>
                <w:i w:val="0"/>
                <w:iCs w:val="0"/>
                <w:color w:val="auto"/>
                <w:kern w:val="0"/>
                <w:sz w:val="24"/>
                <w:szCs w:val="24"/>
                <w:u w:val="none"/>
                <w:lang w:val="en-US" w:eastAsia="zh-CN" w:bidi="ar"/>
              </w:rPr>
              <w:t>30.00</w:t>
            </w:r>
          </w:p>
        </w:tc>
        <w:tc>
          <w:tcPr>
            <w:tcW w:w="2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lang w:val="en-US"/>
              </w:rPr>
            </w:pPr>
            <w:r>
              <w:rPr>
                <w:rFonts w:hint="eastAsia" w:ascii="Times New Roman" w:hAnsi="Times New Roman" w:eastAsia="宋体" w:cs="Times New Roman"/>
                <w:i w:val="0"/>
                <w:iCs w:val="0"/>
                <w:color w:val="auto"/>
                <w:kern w:val="0"/>
                <w:sz w:val="24"/>
                <w:szCs w:val="24"/>
                <w:u w:val="none"/>
                <w:lang w:val="en-US" w:eastAsia="zh-CN" w:bidi="ar"/>
              </w:rPr>
              <w:t>24.75</w:t>
            </w:r>
          </w:p>
        </w:tc>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ind w:left="0" w:leftChars="0" w:right="0" w:rightChars="0" w:firstLine="0" w:firstLineChars="0"/>
              <w:jc w:val="center"/>
              <w:textAlignment w:val="center"/>
              <w:rPr>
                <w:rFonts w:hint="default" w:ascii="Times New Roman" w:hAnsi="Times New Roman" w:eastAsia="宋体" w:cs="Times New Roman"/>
                <w:i w:val="0"/>
                <w:iCs w:val="0"/>
                <w:color w:val="auto"/>
                <w:sz w:val="24"/>
                <w:szCs w:val="24"/>
                <w:u w:val="none"/>
              </w:rPr>
            </w:pPr>
            <w:r>
              <w:rPr>
                <w:rFonts w:hint="eastAsia" w:ascii="Times New Roman" w:hAnsi="Times New Roman" w:eastAsia="宋体" w:cs="Times New Roman"/>
                <w:i w:val="0"/>
                <w:iCs w:val="0"/>
                <w:color w:val="auto"/>
                <w:kern w:val="0"/>
                <w:sz w:val="24"/>
                <w:szCs w:val="24"/>
                <w:u w:val="none"/>
                <w:lang w:val="en-US" w:eastAsia="zh-CN" w:bidi="ar"/>
              </w:rPr>
              <w:t>82.50</w:t>
            </w:r>
            <w:r>
              <w:rPr>
                <w:rFonts w:hint="default" w:ascii="Times New Roman" w:hAnsi="Times New Roman" w:eastAsia="宋体" w:cs="Times New Roman"/>
                <w:i w:val="0"/>
                <w:iCs w:val="0"/>
                <w:color w:val="auto"/>
                <w:kern w:val="0"/>
                <w:sz w:val="24"/>
                <w:szCs w:val="24"/>
                <w:u w:val="none"/>
                <w:lang w:val="en-US" w:eastAsia="zh-CN" w:bidi="ar"/>
              </w:rPr>
              <w:t>%</w:t>
            </w:r>
          </w:p>
        </w:tc>
      </w:tr>
    </w:tbl>
    <w:p>
      <w:pPr>
        <w:pStyle w:val="17"/>
        <w:bidi w:val="0"/>
        <w:ind w:left="0" w:leftChars="0" w:firstLine="0" w:firstLineChars="0"/>
        <w:rPr>
          <w:rFonts w:hint="eastAsia"/>
          <w:color w:val="auto"/>
          <w:lang w:val="en-US" w:eastAsia="zh-CN"/>
        </w:rPr>
      </w:pPr>
    </w:p>
    <w:p>
      <w:pPr>
        <w:pStyle w:val="15"/>
        <w:bidi w:val="0"/>
        <w:rPr>
          <w:rFonts w:hint="eastAsia"/>
          <w:color w:val="auto"/>
          <w:lang w:val="en-US" w:eastAsia="zh-CN"/>
        </w:rPr>
      </w:pPr>
      <w:bookmarkStart w:id="9" w:name="_Toc539"/>
      <w:r>
        <w:rPr>
          <w:rFonts w:hint="eastAsia"/>
          <w:color w:val="auto"/>
          <w:lang w:val="en-US" w:eastAsia="zh-CN"/>
        </w:rPr>
        <w:t>三、主要绩效</w:t>
      </w:r>
      <w:bookmarkEnd w:id="9"/>
    </w:p>
    <w:p>
      <w:pPr>
        <w:pStyle w:val="16"/>
        <w:bidi w:val="0"/>
        <w:rPr>
          <w:rFonts w:hint="default"/>
          <w:color w:val="auto"/>
          <w:highlight w:val="none"/>
          <w:lang w:val="en-US" w:eastAsia="zh-CN"/>
        </w:rPr>
      </w:pPr>
      <w:bookmarkStart w:id="10" w:name="_Toc24398"/>
      <w:r>
        <w:rPr>
          <w:rFonts w:hint="eastAsia"/>
          <w:color w:val="auto"/>
          <w:highlight w:val="none"/>
          <w:lang w:val="en-US" w:eastAsia="zh-CN"/>
        </w:rPr>
        <w:t>（一）实施科技创新激励政策，提升区域创新研发能力</w:t>
      </w:r>
      <w:bookmarkEnd w:id="10"/>
    </w:p>
    <w:p>
      <w:pPr>
        <w:pStyle w:val="17"/>
        <w:bidi w:val="0"/>
        <w:ind w:firstLine="643" w:firstLineChars="200"/>
        <w:rPr>
          <w:rFonts w:hint="eastAsia"/>
          <w:b w:val="0"/>
          <w:bCs w:val="0"/>
          <w:color w:val="auto"/>
          <w:highlight w:val="none"/>
          <w:lang w:val="en-US" w:eastAsia="zh-CN"/>
        </w:rPr>
      </w:pPr>
      <w:r>
        <w:rPr>
          <w:rFonts w:hint="eastAsia"/>
          <w:b/>
          <w:bCs/>
          <w:color w:val="auto"/>
          <w:highlight w:val="none"/>
          <w:lang w:val="en-US" w:eastAsia="zh-CN"/>
        </w:rPr>
        <w:t>一是</w:t>
      </w:r>
      <w:r>
        <w:rPr>
          <w:rFonts w:hint="eastAsia"/>
          <w:color w:val="auto"/>
          <w:highlight w:val="none"/>
          <w:lang w:val="en-US" w:eastAsia="zh-CN"/>
        </w:rPr>
        <w:t>政策激励企业加大科技研发，研发投入效益呈逐年增长态势。近年，</w:t>
      </w:r>
      <w:r>
        <w:rPr>
          <w:rFonts w:hint="eastAsia"/>
          <w:b w:val="0"/>
          <w:bCs w:val="0"/>
          <w:color w:val="auto"/>
          <w:highlight w:val="none"/>
          <w:lang w:val="en-US" w:eastAsia="zh-CN"/>
        </w:rPr>
        <w:t>松山湖依托企业研发补助、产业技术攻关等扶持政策，持续激发市场主体创新活力，区域创新基础不断夯实，企业研发投入稳步提升。2025年全社会研发投入强度为11.72%，较2023年增加0.62个百分点；企业内部研发投入达256亿元，较2023年同比增长34.03%。2023—2025年松山湖全社会研发投入和高新技术企业内部研发投入情况详见图3-1、图3-2。</w:t>
      </w:r>
      <w:r>
        <w:rPr>
          <w:rFonts w:hint="eastAsia"/>
          <w:b/>
          <w:bCs/>
          <w:color w:val="auto"/>
          <w:highlight w:val="none"/>
          <w:lang w:val="en-US" w:eastAsia="zh-CN"/>
        </w:rPr>
        <w:t>二是</w:t>
      </w:r>
      <w:r>
        <w:rPr>
          <w:rFonts w:hint="eastAsia"/>
          <w:b w:val="0"/>
          <w:bCs w:val="0"/>
          <w:color w:val="auto"/>
          <w:highlight w:val="none"/>
          <w:lang w:val="en-US" w:eastAsia="zh-CN"/>
        </w:rPr>
        <w:t>高新技术企业提质成效逐步显现。2025年新增规上高企14家、亿元级高企10家，亿元级高企总营收增长200亿元。</w:t>
      </w:r>
      <w:r>
        <w:rPr>
          <w:rFonts w:hint="eastAsia"/>
          <w:b/>
          <w:bCs/>
          <w:color w:val="auto"/>
          <w:highlight w:val="none"/>
          <w:lang w:val="en-US" w:eastAsia="zh-CN"/>
        </w:rPr>
        <w:t>三是</w:t>
      </w:r>
      <w:r>
        <w:rPr>
          <w:rFonts w:hint="eastAsia"/>
          <w:color w:val="auto"/>
          <w:highlight w:val="none"/>
          <w:lang w:val="en-US" w:eastAsia="zh-CN"/>
        </w:rPr>
        <w:t>围绕重大基础科研平台布局研究方向，促进平台和学科建设。</w:t>
      </w:r>
      <w:r>
        <w:rPr>
          <w:rFonts w:hint="eastAsia"/>
          <w:b w:val="0"/>
          <w:bCs w:val="0"/>
          <w:color w:val="auto"/>
          <w:highlight w:val="none"/>
          <w:lang w:val="en-US" w:eastAsia="zh-CN"/>
        </w:rPr>
        <w:t>借助粤莞联合基金项目支持，推动多所高校及松山湖材料实验室材料科学、工程科学、化学、环境/生态学，广东医科大学药理学与毒物学、生物与生化、化学、分子生物学与遗传学，松山湖材料实验室材料科学共9个学科进入ESI全球前1%，重大基础科研平台与学科建设水平逐步提升。</w:t>
      </w:r>
    </w:p>
    <w:p>
      <w:pPr>
        <w:pStyle w:val="17"/>
        <w:bidi w:val="0"/>
        <w:rPr>
          <w:color w:val="auto"/>
        </w:rPr>
      </w:pPr>
      <w:r>
        <w:rPr>
          <w:color w:val="auto"/>
        </w:rPr>
        <w:drawing>
          <wp:inline distT="0" distB="0" distL="114300" distR="114300">
            <wp:extent cx="4854575" cy="3117850"/>
            <wp:effectExtent l="4445" t="4445" r="17780" b="2095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25"/>
        <w:ind w:firstLine="0" w:firstLineChars="0"/>
        <w:rPr>
          <w:rFonts w:hint="default"/>
          <w:color w:val="auto"/>
          <w:lang w:val="en-US" w:eastAsia="zh-CN"/>
        </w:rPr>
      </w:pPr>
      <w:r>
        <w:rPr>
          <w:rFonts w:hint="eastAsia"/>
          <w:color w:val="auto"/>
          <w:lang w:val="en-US" w:eastAsia="zh-CN"/>
        </w:rPr>
        <w:t>图3-1 松山湖2023—2025年全社会研发投入强度统计概况</w:t>
      </w:r>
    </w:p>
    <w:p>
      <w:pPr>
        <w:pStyle w:val="17"/>
        <w:bidi w:val="0"/>
        <w:ind w:firstLine="0" w:firstLineChars="0"/>
        <w:jc w:val="center"/>
        <w:rPr>
          <w:color w:val="auto"/>
        </w:rPr>
      </w:pPr>
      <w:r>
        <w:rPr>
          <w:color w:val="auto"/>
        </w:rPr>
        <w:drawing>
          <wp:inline distT="0" distB="0" distL="114300" distR="114300">
            <wp:extent cx="4867910" cy="3538855"/>
            <wp:effectExtent l="4445" t="4445" r="23495" b="19050"/>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25"/>
        <w:bidi w:val="0"/>
        <w:ind w:firstLine="0" w:firstLineChars="0"/>
        <w:rPr>
          <w:rFonts w:hint="default"/>
          <w:color w:val="auto"/>
          <w:lang w:val="en-US" w:eastAsia="zh-CN"/>
        </w:rPr>
      </w:pPr>
      <w:r>
        <w:rPr>
          <w:rFonts w:hint="eastAsia"/>
          <w:color w:val="auto"/>
          <w:lang w:val="en-US" w:eastAsia="zh-CN"/>
        </w:rPr>
        <w:t>图3-2 松山湖2023—2025年企业内部研发投入统计概况</w:t>
      </w:r>
    </w:p>
    <w:p>
      <w:pPr>
        <w:pStyle w:val="17"/>
        <w:rPr>
          <w:rFonts w:hint="eastAsia"/>
          <w:color w:val="auto"/>
          <w:lang w:val="en-US" w:eastAsia="zh-CN"/>
        </w:rPr>
      </w:pPr>
      <w:bookmarkStart w:id="11" w:name="_Toc29804"/>
      <w:r>
        <w:rPr>
          <w:rFonts w:hint="eastAsia"/>
          <w:color w:val="auto"/>
        </w:rPr>
        <w:t>如图3-1、图3-2所示，近年来</w:t>
      </w:r>
      <w:r>
        <w:rPr>
          <w:rFonts w:hint="eastAsia"/>
          <w:color w:val="auto"/>
          <w:lang w:eastAsia="zh-CN"/>
        </w:rPr>
        <w:t>，</w:t>
      </w:r>
      <w:r>
        <w:rPr>
          <w:rFonts w:hint="eastAsia"/>
          <w:color w:val="auto"/>
        </w:rPr>
        <w:t>松山湖以科技创新引领为目标，着力强化企业创新主体地位，深化产学研合作，实现连续三年园区全年R&amp;D投入强度超10%，居全国</w:t>
      </w:r>
      <w:r>
        <w:rPr>
          <w:rFonts w:hint="eastAsia"/>
          <w:color w:val="auto"/>
          <w:lang w:val="en-US" w:eastAsia="zh-CN"/>
        </w:rPr>
        <w:t>高新区</w:t>
      </w:r>
      <w:r>
        <w:rPr>
          <w:rFonts w:hint="eastAsia"/>
          <w:color w:val="auto"/>
        </w:rPr>
        <w:t>第一梯队。</w:t>
      </w:r>
      <w:r>
        <w:rPr>
          <w:rFonts w:hint="eastAsia"/>
          <w:color w:val="auto"/>
          <w:lang w:val="en-US" w:eastAsia="zh-CN"/>
        </w:rPr>
        <w:t>此外，</w:t>
      </w:r>
      <w:r>
        <w:rPr>
          <w:rFonts w:hint="eastAsia"/>
          <w:color w:val="auto"/>
        </w:rPr>
        <w:t>通过政策支持，带动园区企业主动增加内部研发经费，加速关键技术攻关，积极推动区域产业向高端化智能化升级。</w:t>
      </w:r>
    </w:p>
    <w:p>
      <w:pPr>
        <w:pStyle w:val="16"/>
        <w:bidi w:val="0"/>
        <w:rPr>
          <w:rFonts w:hint="default"/>
          <w:color w:val="auto"/>
          <w:highlight w:val="none"/>
          <w:lang w:val="en-US" w:eastAsia="zh-CN"/>
        </w:rPr>
      </w:pPr>
      <w:r>
        <w:rPr>
          <w:rFonts w:hint="eastAsia"/>
          <w:color w:val="auto"/>
          <w:highlight w:val="none"/>
          <w:lang w:val="en-US" w:eastAsia="zh-CN"/>
        </w:rPr>
        <w:t>（二）健全科技成果转化机制，提升产业落地赋能效益</w:t>
      </w:r>
      <w:bookmarkEnd w:id="11"/>
    </w:p>
    <w:p>
      <w:pPr>
        <w:pStyle w:val="17"/>
        <w:bidi w:val="0"/>
        <w:rPr>
          <w:rFonts w:hint="eastAsia"/>
          <w:color w:val="auto"/>
          <w:lang w:val="en-US" w:eastAsia="zh-CN"/>
        </w:rPr>
      </w:pPr>
      <w:r>
        <w:rPr>
          <w:rFonts w:hint="eastAsia"/>
          <w:b/>
          <w:bCs/>
          <w:color w:val="auto"/>
          <w:lang w:val="en-US" w:eastAsia="zh-CN"/>
        </w:rPr>
        <w:t>一是</w:t>
      </w:r>
      <w:r>
        <w:rPr>
          <w:rFonts w:hint="eastAsia"/>
          <w:b w:val="0"/>
          <w:bCs w:val="0"/>
          <w:color w:val="auto"/>
          <w:lang w:val="en-US" w:eastAsia="zh-CN"/>
        </w:rPr>
        <w:t>政策</w:t>
      </w:r>
      <w:r>
        <w:rPr>
          <w:rFonts w:hint="eastAsia"/>
          <w:color w:val="auto"/>
          <w:lang w:val="en-US" w:eastAsia="zh-CN"/>
        </w:rPr>
        <w:t>支持科研企业及科研机构科技成果转化，技术交易额逐年增长。松山湖科技创新局落实科技成果转化扶持政策，积极推动科技企业及科研院所开展成果转化，打通产学研转化通道，推进科技成果转化应用。2025年256个技术开发、技术转让和技术许可合同登记项目共实现技术交易额81.16亿元，较2023年增长29.10%。2023—2025年松山湖技术成果转化情况详见图3-3。</w:t>
      </w:r>
      <w:r>
        <w:rPr>
          <w:rFonts w:hint="eastAsia"/>
          <w:b/>
          <w:bCs/>
          <w:color w:val="auto"/>
          <w:lang w:val="en-US" w:eastAsia="zh-CN"/>
        </w:rPr>
        <w:t>二是</w:t>
      </w:r>
      <w:r>
        <w:rPr>
          <w:rFonts w:hint="eastAsia"/>
          <w:color w:val="auto"/>
          <w:lang w:val="en-US" w:eastAsia="zh-CN"/>
        </w:rPr>
        <w:t>重点实验室成果转化初见实效。松山湖材料实验室2项科研成果完成产业化，产业化规模约3400万元；散裂中子源BNCT硼药研发取得突破，加速器技术持续迭代升级，市人民医院BNCT治疗中心建成，为搭建高端转化医学平台奠定坚实基础。</w:t>
      </w:r>
    </w:p>
    <w:p>
      <w:pPr>
        <w:pStyle w:val="17"/>
        <w:bidi w:val="0"/>
        <w:rPr>
          <w:rFonts w:hint="eastAsia"/>
          <w:color w:val="auto"/>
          <w:lang w:val="en-US" w:eastAsia="zh-CN"/>
        </w:rPr>
      </w:pPr>
    </w:p>
    <w:p>
      <w:pPr>
        <w:pStyle w:val="17"/>
        <w:ind w:firstLine="0" w:firstLineChars="0"/>
        <w:jc w:val="center"/>
        <w:rPr>
          <w:color w:val="auto"/>
        </w:rPr>
      </w:pPr>
      <w:r>
        <w:rPr>
          <w:color w:val="auto"/>
        </w:rPr>
        <w:drawing>
          <wp:inline distT="0" distB="0" distL="114300" distR="114300">
            <wp:extent cx="5206365" cy="3711575"/>
            <wp:effectExtent l="4445" t="4445" r="8890" b="17780"/>
            <wp:docPr id="7"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pStyle w:val="25"/>
        <w:ind w:firstLine="0" w:firstLineChars="0"/>
        <w:rPr>
          <w:rFonts w:hint="eastAsia"/>
          <w:color w:val="auto"/>
          <w:lang w:val="en-US" w:eastAsia="zh-CN"/>
        </w:rPr>
      </w:pPr>
      <w:r>
        <w:rPr>
          <w:rFonts w:hint="eastAsia"/>
          <w:color w:val="auto"/>
          <w:lang w:val="en-US" w:eastAsia="zh-CN"/>
        </w:rPr>
        <w:t>图3-3 松山湖2023—2025年</w:t>
      </w:r>
      <w:r>
        <w:rPr>
          <w:rFonts w:hint="eastAsia"/>
          <w:color w:val="auto"/>
        </w:rPr>
        <w:t>技术交易额</w:t>
      </w:r>
      <w:r>
        <w:rPr>
          <w:rFonts w:hint="eastAsia"/>
          <w:color w:val="auto"/>
          <w:lang w:val="en-US" w:eastAsia="zh-CN"/>
        </w:rPr>
        <w:t>统计概况</w:t>
      </w:r>
      <w:r>
        <w:rPr>
          <w:rStyle w:val="14"/>
          <w:rFonts w:hint="eastAsia"/>
          <w:color w:val="auto"/>
          <w:lang w:val="en-US" w:eastAsia="zh-CN"/>
        </w:rPr>
        <w:t>[</w:t>
      </w:r>
      <w:r>
        <w:rPr>
          <w:rStyle w:val="14"/>
          <w:rFonts w:hint="eastAsia"/>
          <w:color w:val="auto"/>
          <w:lang w:val="en-US" w:eastAsia="zh-CN"/>
        </w:rPr>
        <w:footnoteReference w:id="4"/>
      </w:r>
      <w:r>
        <w:rPr>
          <w:rStyle w:val="14"/>
          <w:rFonts w:hint="eastAsia"/>
          <w:color w:val="auto"/>
          <w:lang w:val="en-US" w:eastAsia="zh-CN"/>
        </w:rPr>
        <w:t>]</w:t>
      </w:r>
    </w:p>
    <w:p>
      <w:pPr>
        <w:pStyle w:val="17"/>
        <w:rPr>
          <w:rFonts w:hint="eastAsia"/>
          <w:color w:val="auto"/>
          <w:lang w:val="en-US" w:eastAsia="zh-CN"/>
        </w:rPr>
      </w:pPr>
      <w:bookmarkStart w:id="12" w:name="_Toc18523"/>
      <w:r>
        <w:rPr>
          <w:rFonts w:hint="eastAsia"/>
          <w:color w:val="auto"/>
          <w:lang w:val="en-US" w:eastAsia="zh-CN"/>
        </w:rPr>
        <w:t>如图3-3所示，松山湖</w:t>
      </w:r>
      <w:r>
        <w:rPr>
          <w:rFonts w:hint="eastAsia"/>
          <w:color w:val="auto"/>
        </w:rPr>
        <w:t>通过对技术开发、技术转让、技术许可类交易给予政策奖补，充分发挥财政激励引导作用，</w:t>
      </w:r>
      <w:r>
        <w:rPr>
          <w:rFonts w:hint="eastAsia"/>
          <w:color w:val="auto"/>
          <w:lang w:val="en-US" w:eastAsia="zh-CN"/>
        </w:rPr>
        <w:t>实现园区</w:t>
      </w:r>
      <w:r>
        <w:rPr>
          <w:rFonts w:hint="eastAsia"/>
          <w:color w:val="auto"/>
        </w:rPr>
        <w:t>技术合同技术交易额实现逐年上升。政策</w:t>
      </w:r>
      <w:r>
        <w:rPr>
          <w:rFonts w:hint="eastAsia"/>
          <w:color w:val="auto"/>
          <w:lang w:val="en-US" w:eastAsia="zh-CN"/>
        </w:rPr>
        <w:t>实施后，</w:t>
      </w:r>
      <w:r>
        <w:rPr>
          <w:rFonts w:hint="eastAsia"/>
          <w:color w:val="auto"/>
        </w:rPr>
        <w:t>有效打通产学研成果转化通道，</w:t>
      </w:r>
      <w:r>
        <w:rPr>
          <w:rFonts w:hint="eastAsia"/>
          <w:color w:val="auto"/>
          <w:lang w:val="en-US" w:eastAsia="zh-CN"/>
        </w:rPr>
        <w:t>积极</w:t>
      </w:r>
      <w:r>
        <w:rPr>
          <w:rFonts w:hint="eastAsia"/>
          <w:color w:val="auto"/>
        </w:rPr>
        <w:t>推动高校、科研机构与企业创新要素双向流动，</w:t>
      </w:r>
      <w:r>
        <w:rPr>
          <w:rFonts w:hint="eastAsia"/>
          <w:color w:val="auto"/>
          <w:lang w:val="en-US" w:eastAsia="zh-CN"/>
        </w:rPr>
        <w:t>促进</w:t>
      </w:r>
      <w:r>
        <w:rPr>
          <w:rFonts w:hint="eastAsia"/>
          <w:color w:val="auto"/>
        </w:rPr>
        <w:t>科研成果向产业端落地应用，强化企业创新主体地位，提升区域</w:t>
      </w:r>
      <w:r>
        <w:rPr>
          <w:rFonts w:hint="eastAsia"/>
          <w:color w:val="auto"/>
          <w:lang w:eastAsia="zh-CN"/>
        </w:rPr>
        <w:t>科技成果转化</w:t>
      </w:r>
      <w:r>
        <w:rPr>
          <w:rFonts w:hint="eastAsia"/>
          <w:color w:val="auto"/>
        </w:rPr>
        <w:t>效能。</w:t>
      </w:r>
    </w:p>
    <w:p>
      <w:pPr>
        <w:pStyle w:val="16"/>
        <w:bidi w:val="0"/>
        <w:rPr>
          <w:rFonts w:hint="default"/>
          <w:color w:val="auto"/>
          <w:lang w:val="en-US" w:eastAsia="zh-CN"/>
        </w:rPr>
      </w:pPr>
      <w:r>
        <w:rPr>
          <w:rFonts w:hint="eastAsia"/>
          <w:color w:val="auto"/>
          <w:lang w:val="en-US" w:eastAsia="zh-CN"/>
        </w:rPr>
        <w:t>（三）完善科技服务体系建设，提升科技综合服务能力</w:t>
      </w:r>
      <w:bookmarkEnd w:id="12"/>
    </w:p>
    <w:p>
      <w:pPr>
        <w:pStyle w:val="17"/>
        <w:bidi w:val="0"/>
        <w:rPr>
          <w:rFonts w:hint="eastAsia"/>
          <w:b w:val="0"/>
          <w:bCs w:val="0"/>
          <w:color w:val="auto"/>
          <w:lang w:val="en-US" w:eastAsia="zh-CN"/>
        </w:rPr>
      </w:pPr>
      <w:r>
        <w:rPr>
          <w:rFonts w:hint="eastAsia"/>
          <w:b/>
          <w:bCs/>
          <w:color w:val="auto"/>
          <w:lang w:val="en-US" w:eastAsia="zh-CN"/>
        </w:rPr>
        <w:t>一是</w:t>
      </w:r>
      <w:r>
        <w:rPr>
          <w:rFonts w:hint="eastAsia"/>
          <w:b w:val="0"/>
          <w:bCs w:val="0"/>
          <w:color w:val="auto"/>
          <w:lang w:val="en-US" w:eastAsia="zh-CN"/>
        </w:rPr>
        <w:t>充分发挥孵化器评优激励政策引导作用，不断完善科创服务配套体系。松山湖科技创新局通过实施</w:t>
      </w:r>
      <w:r>
        <w:rPr>
          <w:rFonts w:hint="eastAsia"/>
          <w:color w:val="auto"/>
        </w:rPr>
        <w:t>鼓励科技企业孵化器评先争优</w:t>
      </w:r>
      <w:r>
        <w:rPr>
          <w:rFonts w:hint="eastAsia"/>
          <w:b w:val="0"/>
          <w:bCs w:val="0"/>
          <w:color w:val="auto"/>
          <w:lang w:val="en-US" w:eastAsia="zh-CN"/>
        </w:rPr>
        <w:t>等政策，持续引导园区孵化器优化培育服务，实现2025年孵化器新增培育企业超100家，新增营收35亿元，同比增长10%。</w:t>
      </w:r>
      <w:r>
        <w:rPr>
          <w:rFonts w:hint="eastAsia"/>
          <w:b/>
          <w:bCs/>
          <w:color w:val="auto"/>
          <w:lang w:val="en-US" w:eastAsia="zh-CN"/>
        </w:rPr>
        <w:t>二是</w:t>
      </w:r>
      <w:r>
        <w:rPr>
          <w:rFonts w:hint="eastAsia"/>
          <w:b w:val="0"/>
          <w:bCs w:val="0"/>
          <w:color w:val="auto"/>
          <w:lang w:val="en-US" w:eastAsia="zh-CN"/>
        </w:rPr>
        <w:t>强化科普奖励政策引导，超额实现科普活动目标。依托科普奖励政策，搭建公共场馆、学校、科研院所、园区综合体四大科普阵地，建成40余个科普研学打卡点；2025年科普活动参与人数达1.2973万人次，完成年度1万人次工作目标的129.73%，各类科普活动覆盖人数情况详见图3-4。</w:t>
      </w:r>
    </w:p>
    <w:p>
      <w:pPr>
        <w:pStyle w:val="17"/>
        <w:bidi w:val="0"/>
        <w:ind w:firstLine="0" w:firstLineChars="0"/>
        <w:jc w:val="center"/>
        <w:rPr>
          <w:color w:val="auto"/>
        </w:rPr>
      </w:pPr>
      <w:r>
        <w:rPr>
          <w:color w:val="auto"/>
        </w:rPr>
        <w:drawing>
          <wp:inline distT="0" distB="0" distL="114300" distR="114300">
            <wp:extent cx="4924425" cy="3590925"/>
            <wp:effectExtent l="4445" t="4445" r="5080" b="5080"/>
            <wp:docPr id="8"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pStyle w:val="25"/>
        <w:ind w:firstLine="0" w:firstLineChars="0"/>
        <w:rPr>
          <w:rFonts w:hint="eastAsia" w:eastAsia="黑体"/>
          <w:color w:val="auto"/>
          <w:lang w:val="en-US" w:eastAsia="zh-CN"/>
        </w:rPr>
      </w:pPr>
      <w:r>
        <w:rPr>
          <w:rFonts w:hint="eastAsia"/>
          <w:color w:val="auto"/>
          <w:lang w:val="en-US" w:eastAsia="zh-CN"/>
        </w:rPr>
        <w:t>图3-4 2025年</w:t>
      </w:r>
      <w:r>
        <w:rPr>
          <w:rFonts w:hint="eastAsia"/>
          <w:color w:val="auto"/>
        </w:rPr>
        <w:t>申报阵地科普活动覆盖人数统计</w:t>
      </w:r>
      <w:r>
        <w:rPr>
          <w:rFonts w:hint="eastAsia"/>
          <w:color w:val="auto"/>
          <w:lang w:val="en-US" w:eastAsia="zh-CN"/>
        </w:rPr>
        <w:t>概况</w:t>
      </w:r>
      <w:r>
        <w:rPr>
          <w:rStyle w:val="14"/>
          <w:rFonts w:hint="eastAsia"/>
          <w:color w:val="auto"/>
          <w:lang w:val="en-US" w:eastAsia="zh-CN"/>
        </w:rPr>
        <w:t>[</w:t>
      </w:r>
      <w:r>
        <w:rPr>
          <w:rStyle w:val="14"/>
          <w:rFonts w:hint="eastAsia"/>
          <w:color w:val="auto"/>
          <w:lang w:val="en-US" w:eastAsia="zh-CN"/>
        </w:rPr>
        <w:footnoteReference w:id="5"/>
      </w:r>
      <w:r>
        <w:rPr>
          <w:rStyle w:val="14"/>
          <w:rFonts w:hint="eastAsia"/>
          <w:color w:val="auto"/>
          <w:lang w:val="en-US" w:eastAsia="zh-CN"/>
        </w:rPr>
        <w:t>]</w:t>
      </w:r>
    </w:p>
    <w:p>
      <w:pPr>
        <w:pStyle w:val="17"/>
        <w:rPr>
          <w:rFonts w:hint="default" w:eastAsia="仿宋_GB2312"/>
          <w:color w:val="auto"/>
          <w:lang w:val="en-US" w:eastAsia="zh-CN"/>
        </w:rPr>
      </w:pPr>
      <w:bookmarkStart w:id="13" w:name="_Toc1635"/>
      <w:r>
        <w:rPr>
          <w:rFonts w:hint="eastAsia"/>
          <w:color w:val="auto"/>
          <w:lang w:val="en-US" w:eastAsia="zh-CN"/>
        </w:rPr>
        <w:t>如图3-4所示，</w:t>
      </w:r>
      <w:r>
        <w:rPr>
          <w:rFonts w:hint="eastAsia"/>
          <w:color w:val="auto"/>
        </w:rPr>
        <w:t>2025年申报阵地科普活动累计覆盖1.2973万人次，其中立项委托类活动覆盖5582人次，占比43.03%，是科普受众的主要来源；科普作品、自发公益类活动分别覆盖4000人次、2439人次，占比依次为30.83%、18.80%；无偿支持类活动覆盖952人次，占比7.34%</w:t>
      </w:r>
      <w:r>
        <w:rPr>
          <w:rFonts w:hint="eastAsia"/>
          <w:color w:val="auto"/>
          <w:lang w:val="en-US" w:eastAsia="zh-CN"/>
        </w:rPr>
        <w:t>。</w:t>
      </w:r>
      <w:r>
        <w:rPr>
          <w:rFonts w:hint="eastAsia"/>
          <w:color w:val="auto"/>
        </w:rPr>
        <w:t>各类科普载体协同发挥作用，</w:t>
      </w:r>
      <w:r>
        <w:rPr>
          <w:rFonts w:hint="eastAsia"/>
          <w:color w:val="auto"/>
          <w:lang w:val="en-US" w:eastAsia="zh-CN"/>
        </w:rPr>
        <w:t>有效</w:t>
      </w:r>
      <w:r>
        <w:rPr>
          <w:rFonts w:hint="eastAsia"/>
          <w:color w:val="auto"/>
        </w:rPr>
        <w:t>拓宽</w:t>
      </w:r>
      <w:r>
        <w:rPr>
          <w:rFonts w:hint="eastAsia"/>
          <w:color w:val="auto"/>
          <w:lang w:val="en-US" w:eastAsia="zh-CN"/>
        </w:rPr>
        <w:t>了</w:t>
      </w:r>
      <w:r>
        <w:rPr>
          <w:rFonts w:hint="eastAsia"/>
          <w:color w:val="auto"/>
        </w:rPr>
        <w:t>科技知识传播渠道，提升</w:t>
      </w:r>
      <w:r>
        <w:rPr>
          <w:rFonts w:hint="eastAsia"/>
          <w:color w:val="auto"/>
          <w:lang w:val="en-US" w:eastAsia="zh-CN"/>
        </w:rPr>
        <w:t>社会</w:t>
      </w:r>
      <w:r>
        <w:rPr>
          <w:rFonts w:hint="eastAsia"/>
          <w:color w:val="auto"/>
        </w:rPr>
        <w:t>公众科学素养，实现政策科普板块普惠成效。</w:t>
      </w:r>
    </w:p>
    <w:p>
      <w:pPr>
        <w:pStyle w:val="15"/>
        <w:bidi w:val="0"/>
        <w:rPr>
          <w:rFonts w:hint="eastAsia"/>
          <w:color w:val="auto"/>
          <w:lang w:val="en-US" w:eastAsia="zh-CN"/>
        </w:rPr>
      </w:pPr>
      <w:r>
        <w:rPr>
          <w:rFonts w:hint="eastAsia"/>
          <w:color w:val="auto"/>
          <w:lang w:val="en-US" w:eastAsia="zh-CN"/>
        </w:rPr>
        <w:t>四、存在的问题</w:t>
      </w:r>
      <w:bookmarkEnd w:id="13"/>
    </w:p>
    <w:p>
      <w:pPr>
        <w:pStyle w:val="16"/>
        <w:bidi w:val="0"/>
        <w:rPr>
          <w:rFonts w:hint="default"/>
          <w:color w:val="auto"/>
          <w:lang w:val="en-US" w:eastAsia="zh-CN"/>
        </w:rPr>
      </w:pPr>
      <w:bookmarkStart w:id="14" w:name="_Toc960"/>
      <w:r>
        <w:rPr>
          <w:rFonts w:hint="eastAsia"/>
          <w:color w:val="auto"/>
          <w:lang w:val="en-US" w:eastAsia="zh-CN"/>
        </w:rPr>
        <w:t>（一）前期对企业需求的调研不足，政策实施成效未达预期</w:t>
      </w:r>
      <w:bookmarkEnd w:id="14"/>
    </w:p>
    <w:p>
      <w:pPr>
        <w:pStyle w:val="17"/>
        <w:bidi w:val="0"/>
        <w:rPr>
          <w:rFonts w:hint="default"/>
          <w:color w:val="auto"/>
          <w:highlight w:val="none"/>
          <w:lang w:val="en-US" w:eastAsia="zh-CN"/>
        </w:rPr>
      </w:pPr>
      <w:r>
        <w:rPr>
          <w:rFonts w:hint="eastAsia"/>
          <w:color w:val="auto"/>
          <w:highlight w:val="none"/>
          <w:lang w:val="en-US" w:eastAsia="zh-CN"/>
        </w:rPr>
        <w:t>经现场核查发现：预算编制阶段，松山湖科技创新局对辖区科技企业发展诉求、项目储备情况调研论证不够充分，预算资金测算缺乏扎实的数据支撑，造成1项扶持政策零兑现，5项扶持政策预算执行率不足60%，财政资金使用效益受限，政策激励效应未能充分释放。</w:t>
      </w:r>
      <w:r>
        <w:rPr>
          <w:rFonts w:hint="eastAsia"/>
          <w:b/>
          <w:bCs/>
          <w:color w:val="auto"/>
          <w:highlight w:val="none"/>
          <w:lang w:val="en-US" w:eastAsia="zh-CN"/>
        </w:rPr>
        <w:t>一是</w:t>
      </w:r>
      <w:r>
        <w:rPr>
          <w:rFonts w:hint="eastAsia"/>
          <w:b w:val="0"/>
          <w:bCs w:val="0"/>
          <w:color w:val="auto"/>
          <w:highlight w:val="none"/>
          <w:lang w:val="en-US" w:eastAsia="zh-CN"/>
        </w:rPr>
        <w:t>支</w:t>
      </w:r>
      <w:r>
        <w:rPr>
          <w:rFonts w:hint="eastAsia"/>
          <w:color w:val="auto"/>
          <w:highlight w:val="none"/>
          <w:lang w:val="en-US" w:eastAsia="zh-CN"/>
        </w:rPr>
        <w:t>持研发机构建设政策，年度预算300万元，但受2025年无新增省级以上研发机构，境外研发机构需向商务部门备案等因素影响，无企业申报，扶持资金兑现金额为0。</w:t>
      </w:r>
      <w:r>
        <w:rPr>
          <w:rFonts w:hint="eastAsia"/>
          <w:b/>
          <w:bCs/>
          <w:color w:val="auto"/>
          <w:highlight w:val="none"/>
          <w:lang w:val="en-US" w:eastAsia="zh-CN"/>
        </w:rPr>
        <w:t>二是</w:t>
      </w:r>
      <w:r>
        <w:rPr>
          <w:rFonts w:hint="eastAsia"/>
          <w:b w:val="0"/>
          <w:bCs w:val="0"/>
          <w:color w:val="auto"/>
          <w:highlight w:val="none"/>
          <w:lang w:val="en-US" w:eastAsia="zh-CN"/>
        </w:rPr>
        <w:t>支持概念验证中心及中试平台建设政策，</w:t>
      </w:r>
      <w:r>
        <w:rPr>
          <w:rFonts w:hint="eastAsia"/>
          <w:color w:val="auto"/>
          <w:highlight w:val="none"/>
          <w:lang w:val="en-US" w:eastAsia="zh-CN"/>
        </w:rPr>
        <w:t>因预算编制阶段对辖区国家级、省级、市级概念验证中心、中试平台存量情况研判不够充分，导致支持概念验证中心及中试平台建设资金支出率仅25.50%。</w:t>
      </w:r>
      <w:r>
        <w:rPr>
          <w:rFonts w:hint="eastAsia"/>
          <w:b/>
          <w:bCs/>
          <w:color w:val="auto"/>
          <w:highlight w:val="none"/>
          <w:lang w:val="en-US" w:eastAsia="zh-CN"/>
        </w:rPr>
        <w:t>三是</w:t>
      </w:r>
      <w:r>
        <w:rPr>
          <w:rFonts w:hint="eastAsia"/>
          <w:color w:val="auto"/>
          <w:highlight w:val="none"/>
          <w:lang w:val="en-US" w:eastAsia="zh-CN"/>
        </w:rPr>
        <w:t>科技成果落地融资奖励政策，虽放宽申报条件，前期预判每年约20家企业申报、测算资金2000万元，但截至2026年6月30日，仅10家企业提出政策申报并通过审核，实际仅兑现资金566.89万元，资金测算与实际兑现情况差异较大，该项扶持资金支出率为28.34%。</w:t>
      </w:r>
    </w:p>
    <w:p>
      <w:pPr>
        <w:pStyle w:val="16"/>
        <w:bidi w:val="0"/>
        <w:rPr>
          <w:rFonts w:hint="default"/>
          <w:color w:val="auto"/>
          <w:lang w:val="en-US" w:eastAsia="zh-CN"/>
        </w:rPr>
      </w:pPr>
      <w:bookmarkStart w:id="15" w:name="_Toc30338"/>
      <w:r>
        <w:rPr>
          <w:rFonts w:hint="eastAsia"/>
          <w:color w:val="auto"/>
          <w:lang w:val="en-US" w:eastAsia="zh-CN"/>
        </w:rPr>
        <w:t>（二）部分政策措施内容有待优化，评审标准全面性不足</w:t>
      </w:r>
      <w:bookmarkEnd w:id="15"/>
    </w:p>
    <w:p>
      <w:pPr>
        <w:pStyle w:val="17"/>
        <w:bidi w:val="0"/>
        <w:rPr>
          <w:rFonts w:hint="eastAsia"/>
          <w:b/>
          <w:bCs/>
          <w:color w:val="auto"/>
          <w:highlight w:val="none"/>
          <w:lang w:val="en-US" w:eastAsia="zh-CN"/>
        </w:rPr>
      </w:pPr>
      <w:r>
        <w:rPr>
          <w:rFonts w:hint="eastAsia"/>
          <w:b/>
          <w:bCs/>
          <w:color w:val="auto"/>
          <w:highlight w:val="none"/>
          <w:lang w:val="en-US" w:eastAsia="zh-CN"/>
        </w:rPr>
        <w:t>一是</w:t>
      </w:r>
      <w:r>
        <w:rPr>
          <w:rFonts w:hint="eastAsia"/>
          <w:b w:val="0"/>
          <w:bCs w:val="0"/>
          <w:color w:val="auto"/>
          <w:highlight w:val="none"/>
          <w:lang w:val="en-US" w:eastAsia="zh-CN"/>
        </w:rPr>
        <w:t>部分扶持政策条款内容有待优化。</w:t>
      </w:r>
      <w:r>
        <w:rPr>
          <w:rFonts w:hint="eastAsia"/>
          <w:b/>
          <w:bCs/>
          <w:color w:val="auto"/>
          <w:highlight w:val="none"/>
          <w:lang w:val="en-US" w:eastAsia="zh-CN"/>
        </w:rPr>
        <w:t>其一，</w:t>
      </w:r>
      <w:r>
        <w:rPr>
          <w:rFonts w:hint="eastAsia"/>
          <w:b w:val="0"/>
          <w:bCs w:val="0"/>
          <w:color w:val="auto"/>
          <w:highlight w:val="none"/>
          <w:lang w:val="en-US" w:eastAsia="zh-CN"/>
        </w:rPr>
        <w:t>部分政策与上级部门出台同类政策扶持内容相近。如：松山湖现行</w:t>
      </w:r>
      <w:r>
        <w:rPr>
          <w:rFonts w:hint="eastAsia"/>
          <w:color w:val="auto"/>
          <w:highlight w:val="none"/>
        </w:rPr>
        <w:t>支持概念验证中心及中试平台建设</w:t>
      </w:r>
      <w:r>
        <w:rPr>
          <w:rFonts w:hint="eastAsia"/>
          <w:color w:val="auto"/>
          <w:highlight w:val="none"/>
          <w:lang w:val="en-US" w:eastAsia="zh-CN"/>
        </w:rPr>
        <w:t>补贴政策，</w:t>
      </w:r>
      <w:r>
        <w:rPr>
          <w:rFonts w:hint="eastAsia"/>
          <w:b w:val="0"/>
          <w:bCs w:val="0"/>
          <w:color w:val="auto"/>
          <w:highlight w:val="none"/>
          <w:lang w:val="en-US" w:eastAsia="zh-CN"/>
        </w:rPr>
        <w:t>与东莞市科学技术局 东莞市发展和改革局 东莞市工业和信息化局2025年5月出台的《东莞市概念验证及中试服务平台建设运行管理实施细则（试行）》第二十三条、第二十四条政策措施</w:t>
      </w:r>
      <w:r>
        <w:rPr>
          <w:rStyle w:val="14"/>
          <w:color w:val="auto"/>
          <w:highlight w:val="none"/>
        </w:rPr>
        <w:t>[</w:t>
      </w:r>
      <w:r>
        <w:rPr>
          <w:rStyle w:val="14"/>
          <w:color w:val="auto"/>
          <w:highlight w:val="none"/>
        </w:rPr>
        <w:footnoteReference w:id="6"/>
      </w:r>
      <w:r>
        <w:rPr>
          <w:rStyle w:val="14"/>
          <w:color w:val="auto"/>
          <w:highlight w:val="none"/>
        </w:rPr>
        <w:t>]</w:t>
      </w:r>
      <w:r>
        <w:rPr>
          <w:rFonts w:hint="eastAsia"/>
          <w:color w:val="auto"/>
          <w:highlight w:val="none"/>
          <w:lang w:eastAsia="zh-CN"/>
        </w:rPr>
        <w:t>，</w:t>
      </w:r>
      <w:r>
        <w:rPr>
          <w:rFonts w:hint="eastAsia"/>
          <w:color w:val="auto"/>
          <w:highlight w:val="none"/>
          <w:lang w:val="en-US" w:eastAsia="zh-CN"/>
        </w:rPr>
        <w:t>均</w:t>
      </w:r>
      <w:r>
        <w:rPr>
          <w:rFonts w:hint="eastAsia"/>
          <w:color w:val="auto"/>
          <w:highlight w:val="none"/>
        </w:rPr>
        <w:t>对市级及以上概念验证中心、中试平台予以补贴支持</w:t>
      </w:r>
      <w:r>
        <w:rPr>
          <w:rFonts w:hint="eastAsia"/>
          <w:color w:val="auto"/>
          <w:highlight w:val="none"/>
          <w:lang w:val="en-US" w:eastAsia="zh-CN"/>
        </w:rPr>
        <w:t>。</w:t>
      </w:r>
      <w:r>
        <w:rPr>
          <w:rFonts w:hint="eastAsia"/>
          <w:b/>
          <w:bCs/>
          <w:color w:val="auto"/>
          <w:highlight w:val="none"/>
          <w:lang w:val="en-US" w:eastAsia="zh-CN"/>
        </w:rPr>
        <w:t>其二，</w:t>
      </w:r>
      <w:r>
        <w:rPr>
          <w:rFonts w:hint="eastAsia"/>
          <w:b w:val="0"/>
          <w:bCs w:val="0"/>
          <w:color w:val="auto"/>
          <w:highlight w:val="none"/>
          <w:lang w:val="en-US" w:eastAsia="zh-CN"/>
        </w:rPr>
        <w:t>与其他地区同类政策相比，部分政策条款设计不够全面。如：松山湖“按首次认定给予6万元”的统一奖励标准，较东莞市长安镇出台按企业规模实施分层分类的高新技术企业认定奖励政策措施（首次通过高新技术企业认定的规模以上企业奖励8万元，其余奖励5万元）</w:t>
      </w:r>
      <w:r>
        <w:rPr>
          <w:rStyle w:val="14"/>
          <w:rFonts w:hint="eastAsia"/>
          <w:b w:val="0"/>
          <w:bCs w:val="0"/>
          <w:color w:val="auto"/>
          <w:highlight w:val="none"/>
          <w:lang w:val="en-US" w:eastAsia="zh-CN"/>
        </w:rPr>
        <w:t>[</w:t>
      </w:r>
      <w:r>
        <w:rPr>
          <w:rStyle w:val="14"/>
          <w:rFonts w:hint="eastAsia"/>
          <w:b w:val="0"/>
          <w:bCs w:val="0"/>
          <w:color w:val="auto"/>
          <w:highlight w:val="none"/>
          <w:lang w:val="en-US" w:eastAsia="zh-CN"/>
        </w:rPr>
        <w:footnoteReference w:id="7"/>
      </w:r>
      <w:r>
        <w:rPr>
          <w:rStyle w:val="14"/>
          <w:rFonts w:hint="eastAsia"/>
          <w:b w:val="0"/>
          <w:bCs w:val="0"/>
          <w:color w:val="auto"/>
          <w:highlight w:val="none"/>
          <w:lang w:val="en-US" w:eastAsia="zh-CN"/>
        </w:rPr>
        <w:t>]</w:t>
      </w:r>
      <w:r>
        <w:rPr>
          <w:rFonts w:hint="eastAsia"/>
          <w:b w:val="0"/>
          <w:bCs w:val="0"/>
          <w:color w:val="auto"/>
          <w:highlight w:val="none"/>
          <w:lang w:val="en-US" w:eastAsia="zh-CN"/>
        </w:rPr>
        <w:t>相比，既未充分体现企业研发投入强度、科技成果转化能力等客观创新指标的差异，也未能充分释放财政资金投入使用效能。另外，2023—2025年松山湖新增认定高新技术企业数量呈逐年下降趋势，年均下降率22.74%，主要原因在于：受高新技术企业数量评审标准较严格，企业申报认定主观意愿减弱等因素影响，</w:t>
      </w:r>
      <w:r>
        <w:rPr>
          <w:rFonts w:hint="eastAsia"/>
          <w:color w:val="auto"/>
          <w:highlight w:val="none"/>
        </w:rPr>
        <w:t>全市高新技术企业认定数量出现下滑</w:t>
      </w:r>
      <w:r>
        <w:rPr>
          <w:rFonts w:hint="eastAsia"/>
          <w:color w:val="auto"/>
          <w:highlight w:val="none"/>
          <w:lang w:eastAsia="zh-CN"/>
        </w:rPr>
        <w:t>。</w:t>
      </w:r>
      <w:r>
        <w:rPr>
          <w:rFonts w:hint="eastAsia"/>
          <w:color w:val="auto"/>
          <w:highlight w:val="none"/>
          <w:lang w:val="en-US" w:eastAsia="zh-CN"/>
        </w:rPr>
        <w:t>上述政策实施现状</w:t>
      </w:r>
      <w:r>
        <w:rPr>
          <w:rFonts w:hint="eastAsia"/>
          <w:b w:val="0"/>
          <w:bCs w:val="0"/>
          <w:color w:val="auto"/>
          <w:highlight w:val="none"/>
          <w:lang w:val="en-US" w:eastAsia="zh-CN"/>
        </w:rPr>
        <w:t>值得</w:t>
      </w:r>
      <w:r>
        <w:rPr>
          <w:rFonts w:hint="eastAsia"/>
          <w:color w:val="auto"/>
          <w:highlight w:val="none"/>
          <w:lang w:val="en-US" w:eastAsia="zh-CN"/>
        </w:rPr>
        <w:t>松山湖科技创新局深入分析原因，提出创新举措</w:t>
      </w:r>
      <w:r>
        <w:rPr>
          <w:rFonts w:hint="eastAsia"/>
          <w:b w:val="0"/>
          <w:bCs w:val="0"/>
          <w:color w:val="auto"/>
          <w:highlight w:val="none"/>
          <w:lang w:val="en-US" w:eastAsia="zh-CN"/>
        </w:rPr>
        <w:t>。</w:t>
      </w:r>
    </w:p>
    <w:p>
      <w:pPr>
        <w:pStyle w:val="17"/>
        <w:bidi w:val="0"/>
        <w:rPr>
          <w:rFonts w:hint="default"/>
          <w:b w:val="0"/>
          <w:bCs w:val="0"/>
          <w:color w:val="auto"/>
          <w:highlight w:val="none"/>
          <w:lang w:val="en-US" w:eastAsia="zh-CN"/>
        </w:rPr>
      </w:pPr>
      <w:r>
        <w:rPr>
          <w:rFonts w:hint="eastAsia"/>
          <w:b/>
          <w:bCs/>
          <w:color w:val="auto"/>
          <w:highlight w:val="none"/>
          <w:lang w:val="en-US" w:eastAsia="zh-CN"/>
        </w:rPr>
        <w:t>二是</w:t>
      </w:r>
      <w:r>
        <w:rPr>
          <w:rFonts w:hint="eastAsia"/>
          <w:color w:val="auto"/>
          <w:highlight w:val="none"/>
          <w:lang w:val="en-US" w:eastAsia="zh-CN"/>
        </w:rPr>
        <w:t>部分扶持政策评审标准有待优化。目前《松山湖优秀孵化器评分体系》设置的10项优秀孵化器评分指标，侧重于考核孵化器孵化企业数量等量化数据，但缺少孵化器服务过程、服务质量、企业培育效益、运营管理能力等评价维度，存在孵化器评优考核“重数量、轻效益”的现象，难以全面客观衡量孵化器真实孵化服务能力。</w:t>
      </w:r>
    </w:p>
    <w:p>
      <w:pPr>
        <w:pStyle w:val="16"/>
        <w:bidi w:val="0"/>
        <w:rPr>
          <w:rFonts w:hint="eastAsia"/>
          <w:color w:val="auto"/>
          <w:lang w:val="en-US" w:eastAsia="zh-CN"/>
        </w:rPr>
      </w:pPr>
      <w:bookmarkStart w:id="16" w:name="_Toc27170"/>
      <w:r>
        <w:rPr>
          <w:rFonts w:hint="eastAsia"/>
          <w:color w:val="auto"/>
          <w:lang w:val="en-US" w:eastAsia="zh-CN"/>
        </w:rPr>
        <w:t>（三）绩效指标设置不够全面，目标值设定科学性不足</w:t>
      </w:r>
      <w:bookmarkEnd w:id="16"/>
    </w:p>
    <w:p>
      <w:pPr>
        <w:pStyle w:val="17"/>
        <w:bidi w:val="0"/>
        <w:rPr>
          <w:rFonts w:hint="eastAsia"/>
          <w:color w:val="auto"/>
          <w:lang w:val="en-US" w:eastAsia="zh-CN"/>
        </w:rPr>
      </w:pPr>
      <w:r>
        <w:rPr>
          <w:rFonts w:hint="eastAsia"/>
          <w:b/>
          <w:bCs/>
          <w:color w:val="auto"/>
          <w:lang w:val="en-US" w:eastAsia="zh-CN"/>
        </w:rPr>
        <w:t>一是</w:t>
      </w:r>
      <w:r>
        <w:rPr>
          <w:rFonts w:hint="eastAsia"/>
          <w:color w:val="auto"/>
          <w:lang w:val="en-US" w:eastAsia="zh-CN"/>
        </w:rPr>
        <w:t>绩效指标设置与政策实施内容衔接性不足。如：2026年度设置的项目绩效指标中，缺少与支持概念验证及中试平台建设财政补贴投入相衔接的产出、效益指标，未能全面反映财政投入效益与政策实施成效。</w:t>
      </w:r>
    </w:p>
    <w:p>
      <w:pPr>
        <w:pStyle w:val="17"/>
        <w:bidi w:val="0"/>
        <w:rPr>
          <w:rFonts w:hint="eastAsia"/>
          <w:color w:val="auto"/>
          <w:lang w:val="en-US" w:eastAsia="zh-CN"/>
        </w:rPr>
      </w:pPr>
      <w:r>
        <w:rPr>
          <w:rFonts w:hint="eastAsia"/>
          <w:b/>
          <w:bCs/>
          <w:color w:val="auto"/>
          <w:lang w:val="en-US" w:eastAsia="zh-CN"/>
        </w:rPr>
        <w:t>二是</w:t>
      </w:r>
      <w:r>
        <w:rPr>
          <w:rFonts w:hint="eastAsia"/>
          <w:color w:val="auto"/>
          <w:lang w:val="en-US" w:eastAsia="zh-CN"/>
        </w:rPr>
        <w:t>个别绩效指标预期目标值的设置或偏低，或偏高。如：经济效益指标“新增技术开发、技术转让和技术许可合同技术交易额”，年度目标值为“≥5000万元”，实际完成值为“≥5.99亿元”，指标完成率高达1198%，目标值远低于实际产能，未能充分发挥绩效目标导向与考核约束力。又如：2025年度设定“新增技术开发、技术转让和技术许可合同登记数不少于30项”的增长目标，但未结合年度行业发展及辖区科创项目实际情况研判，导致2025年度实际完成数据较2024年同比下降33.47%，未达成预期增长目标，绩效目标的科学性、合理性有待进一步提升。</w:t>
      </w:r>
    </w:p>
    <w:p>
      <w:pPr>
        <w:pStyle w:val="15"/>
        <w:bidi w:val="0"/>
        <w:rPr>
          <w:rFonts w:hint="eastAsia"/>
          <w:color w:val="auto"/>
          <w:lang w:val="en-US" w:eastAsia="zh-CN"/>
        </w:rPr>
      </w:pPr>
      <w:bookmarkStart w:id="17" w:name="_Toc17979"/>
      <w:r>
        <w:rPr>
          <w:rFonts w:hint="eastAsia"/>
          <w:color w:val="auto"/>
          <w:lang w:val="en-US" w:eastAsia="zh-CN"/>
        </w:rPr>
        <w:t>五、相关建议</w:t>
      </w:r>
      <w:bookmarkEnd w:id="17"/>
    </w:p>
    <w:p>
      <w:pPr>
        <w:pStyle w:val="16"/>
        <w:bidi w:val="0"/>
        <w:rPr>
          <w:rFonts w:hint="default"/>
          <w:color w:val="auto"/>
          <w:lang w:val="en-US" w:eastAsia="zh-CN"/>
        </w:rPr>
      </w:pPr>
      <w:bookmarkStart w:id="18" w:name="_Toc31982"/>
      <w:r>
        <w:rPr>
          <w:rFonts w:hint="eastAsia"/>
          <w:color w:val="auto"/>
          <w:lang w:val="en-US" w:eastAsia="zh-CN"/>
        </w:rPr>
        <w:t>（一）强化前期调研论证，提升政策资金投向精准性</w:t>
      </w:r>
      <w:bookmarkEnd w:id="18"/>
    </w:p>
    <w:p>
      <w:pPr>
        <w:pStyle w:val="17"/>
        <w:bidi w:val="0"/>
        <w:rPr>
          <w:rFonts w:hint="eastAsia"/>
          <w:color w:val="auto"/>
          <w:lang w:val="en-US" w:eastAsia="zh-CN"/>
        </w:rPr>
      </w:pPr>
      <w:r>
        <w:rPr>
          <w:rFonts w:hint="eastAsia"/>
          <w:b/>
          <w:bCs/>
          <w:color w:val="auto"/>
          <w:lang w:val="en-US" w:eastAsia="zh-CN"/>
        </w:rPr>
        <w:t>一是</w:t>
      </w:r>
      <w:r>
        <w:rPr>
          <w:rFonts w:hint="eastAsia"/>
          <w:b w:val="0"/>
          <w:bCs w:val="0"/>
          <w:color w:val="auto"/>
          <w:lang w:val="en-US" w:eastAsia="zh-CN"/>
        </w:rPr>
        <w:t>加强</w:t>
      </w:r>
      <w:r>
        <w:rPr>
          <w:rFonts w:hint="eastAsia"/>
          <w:color w:val="auto"/>
          <w:lang w:val="en-US" w:eastAsia="zh-CN"/>
        </w:rPr>
        <w:t>企业需求前期摸排调研，</w:t>
      </w:r>
      <w:r>
        <w:rPr>
          <w:rFonts w:hint="eastAsia"/>
          <w:color w:val="auto"/>
        </w:rPr>
        <w:t>夯实政策实施基础。在年度政策落地、预算编制工作启动前，</w:t>
      </w:r>
      <w:r>
        <w:rPr>
          <w:rFonts w:hint="eastAsia"/>
          <w:color w:val="auto"/>
          <w:lang w:val="en-US" w:eastAsia="zh-CN"/>
        </w:rPr>
        <w:t>建议</w:t>
      </w:r>
      <w:r>
        <w:rPr>
          <w:rFonts w:hint="eastAsia"/>
          <w:color w:val="auto"/>
        </w:rPr>
        <w:t>由松山湖科技创新局牵头开展</w:t>
      </w:r>
      <w:r>
        <w:rPr>
          <w:rFonts w:hint="eastAsia"/>
          <w:color w:val="auto"/>
          <w:lang w:val="en-US" w:eastAsia="zh-CN"/>
        </w:rPr>
        <w:t>企业</w:t>
      </w:r>
      <w:r>
        <w:rPr>
          <w:rFonts w:hint="eastAsia"/>
          <w:color w:val="auto"/>
        </w:rPr>
        <w:t>需求调研</w:t>
      </w:r>
      <w:r>
        <w:rPr>
          <w:rFonts w:hint="eastAsia"/>
          <w:color w:val="auto"/>
          <w:lang w:eastAsia="zh-CN"/>
        </w:rPr>
        <w:t>，</w:t>
      </w:r>
      <w:r>
        <w:rPr>
          <w:rFonts w:hint="eastAsia"/>
          <w:color w:val="auto"/>
        </w:rPr>
        <w:t>通过实地走访企业、召开行业专题座谈、发放调研问卷等多种形式，全面摸清辖区研发机构、概念验证中心、中试平台等科创载体存量底数，</w:t>
      </w:r>
      <w:r>
        <w:rPr>
          <w:rFonts w:hint="eastAsia"/>
          <w:color w:val="auto"/>
          <w:lang w:val="en-US" w:eastAsia="zh-CN"/>
        </w:rPr>
        <w:t>系统</w:t>
      </w:r>
      <w:r>
        <w:rPr>
          <w:rFonts w:hint="eastAsia"/>
          <w:color w:val="auto"/>
        </w:rPr>
        <w:t>梳理科创企业技术攻关、成果转化、平台建设、资金融资等核心发展需求，精准掌握企业政策申报意愿、重点项目储备情况，建立动态化企业需求台账，</w:t>
      </w:r>
      <w:r>
        <w:rPr>
          <w:rFonts w:hint="eastAsia"/>
          <w:color w:val="auto"/>
          <w:lang w:val="en-US" w:eastAsia="zh-CN"/>
        </w:rPr>
        <w:t>为</w:t>
      </w:r>
      <w:r>
        <w:rPr>
          <w:rFonts w:hint="eastAsia"/>
          <w:color w:val="auto"/>
        </w:rPr>
        <w:t>政策优化调整、年度预算编制</w:t>
      </w:r>
      <w:r>
        <w:rPr>
          <w:rFonts w:hint="eastAsia"/>
          <w:color w:val="auto"/>
          <w:lang w:val="en-US" w:eastAsia="zh-CN"/>
        </w:rPr>
        <w:t>提供基础数据基础。</w:t>
      </w:r>
    </w:p>
    <w:p>
      <w:pPr>
        <w:pStyle w:val="17"/>
        <w:bidi w:val="0"/>
        <w:rPr>
          <w:rFonts w:hint="eastAsia"/>
          <w:color w:val="auto"/>
          <w:lang w:val="en-US" w:eastAsia="zh-CN"/>
        </w:rPr>
      </w:pPr>
      <w:r>
        <w:rPr>
          <w:rFonts w:hint="eastAsia"/>
          <w:b/>
          <w:bCs/>
          <w:color w:val="auto"/>
          <w:lang w:val="en-US" w:eastAsia="zh-CN"/>
        </w:rPr>
        <w:t>二是</w:t>
      </w:r>
      <w:r>
        <w:rPr>
          <w:rFonts w:hint="eastAsia"/>
          <w:b w:val="0"/>
          <w:bCs w:val="0"/>
          <w:color w:val="auto"/>
          <w:lang w:val="en-US" w:eastAsia="zh-CN"/>
        </w:rPr>
        <w:t>完善年度预算测算可行性论证，</w:t>
      </w:r>
      <w:r>
        <w:rPr>
          <w:rFonts w:hint="eastAsia"/>
          <w:color w:val="auto"/>
          <w:lang w:val="en-US" w:eastAsia="zh-CN"/>
        </w:rPr>
        <w:t>提高</w:t>
      </w:r>
      <w:r>
        <w:rPr>
          <w:rFonts w:hint="eastAsia"/>
          <w:color w:val="auto"/>
        </w:rPr>
        <w:t>资金配置精准度</w:t>
      </w:r>
      <w:r>
        <w:rPr>
          <w:rFonts w:hint="eastAsia"/>
          <w:b w:val="0"/>
          <w:bCs w:val="0"/>
          <w:color w:val="auto"/>
          <w:lang w:val="en-US" w:eastAsia="zh-CN"/>
        </w:rPr>
        <w:t>。</w:t>
      </w:r>
      <w:r>
        <w:rPr>
          <w:rFonts w:hint="eastAsia"/>
          <w:color w:val="auto"/>
          <w:lang w:val="en-US" w:eastAsia="zh-CN"/>
        </w:rPr>
        <w:t>建议松山湖科技创新局结合</w:t>
      </w:r>
      <w:r>
        <w:rPr>
          <w:rFonts w:hint="eastAsia"/>
          <w:color w:val="auto"/>
        </w:rPr>
        <w:t>松山湖科创产业类型多、扶持领域广的特点</w:t>
      </w:r>
      <w:r>
        <w:rPr>
          <w:rFonts w:hint="eastAsia"/>
          <w:color w:val="auto"/>
          <w:lang w:eastAsia="zh-CN"/>
        </w:rPr>
        <w:t>，</w:t>
      </w:r>
      <w:r>
        <w:rPr>
          <w:rFonts w:hint="eastAsia"/>
          <w:color w:val="auto"/>
        </w:rPr>
        <w:t>依托历年政策兑现数据、现行政策条款</w:t>
      </w:r>
      <w:r>
        <w:rPr>
          <w:rFonts w:hint="eastAsia"/>
          <w:color w:val="auto"/>
          <w:lang w:val="en-US" w:eastAsia="zh-CN"/>
        </w:rPr>
        <w:t>实施情况</w:t>
      </w:r>
      <w:r>
        <w:rPr>
          <w:rFonts w:hint="eastAsia"/>
          <w:color w:val="auto"/>
        </w:rPr>
        <w:t>、科创行业发展趋势及企业经营</w:t>
      </w:r>
      <w:r>
        <w:rPr>
          <w:rFonts w:hint="eastAsia"/>
          <w:color w:val="auto"/>
          <w:lang w:val="en-US" w:eastAsia="zh-CN"/>
        </w:rPr>
        <w:t>情况开展科学研判，精准测算政策实施年度预算资金需求，科学确定各项政策预算资金规模，避免出现资金测算脱离实际的情况，从源头提升</w:t>
      </w:r>
      <w:r>
        <w:rPr>
          <w:rFonts w:hint="eastAsia"/>
          <w:color w:val="auto"/>
        </w:rPr>
        <w:t>预算编制的科学性、精准性与可行性</w:t>
      </w:r>
      <w:r>
        <w:rPr>
          <w:rFonts w:hint="eastAsia"/>
          <w:color w:val="auto"/>
          <w:lang w:val="en-US" w:eastAsia="zh-CN"/>
        </w:rPr>
        <w:t>。</w:t>
      </w:r>
    </w:p>
    <w:p>
      <w:pPr>
        <w:pStyle w:val="17"/>
        <w:bidi w:val="0"/>
        <w:rPr>
          <w:rFonts w:hint="eastAsia"/>
          <w:color w:val="auto"/>
          <w:lang w:val="en-US" w:eastAsia="zh-CN"/>
        </w:rPr>
      </w:pPr>
      <w:r>
        <w:rPr>
          <w:rFonts w:hint="eastAsia"/>
          <w:b/>
          <w:bCs/>
          <w:color w:val="auto"/>
          <w:lang w:val="en-US" w:eastAsia="zh-CN"/>
        </w:rPr>
        <w:t>三是</w:t>
      </w:r>
      <w:r>
        <w:rPr>
          <w:rFonts w:hint="eastAsia"/>
          <w:color w:val="auto"/>
          <w:lang w:val="en-US" w:eastAsia="zh-CN"/>
        </w:rPr>
        <w:t>强化政策实施动态监管，提升政策实施成效。建议松山湖科技创新局</w:t>
      </w:r>
      <w:r>
        <w:rPr>
          <w:rFonts w:hint="eastAsia"/>
          <w:color w:val="auto"/>
        </w:rPr>
        <w:t>建立常态化政策执行核查机制，定期跟踪核查政策申报、资金兑付整体进度</w:t>
      </w:r>
      <w:r>
        <w:rPr>
          <w:rFonts w:hint="eastAsia"/>
          <w:color w:val="auto"/>
          <w:lang w:val="en-US" w:eastAsia="zh-CN"/>
        </w:rPr>
        <w:t>，</w:t>
      </w:r>
      <w:r>
        <w:rPr>
          <w:rFonts w:hint="eastAsia"/>
          <w:color w:val="auto"/>
        </w:rPr>
        <w:t>针对资金执行率偏低的政策条</w:t>
      </w:r>
      <w:r>
        <w:rPr>
          <w:rFonts w:hint="eastAsia"/>
          <w:color w:val="auto"/>
          <w:lang w:val="en-US" w:eastAsia="zh-CN"/>
        </w:rPr>
        <w:t>款</w:t>
      </w:r>
      <w:r>
        <w:rPr>
          <w:rFonts w:hint="eastAsia"/>
          <w:color w:val="auto"/>
        </w:rPr>
        <w:t>，精准研判实施堵点、深挖问题成因，动态优化政策扶持条件、申报门槛</w:t>
      </w:r>
      <w:r>
        <w:rPr>
          <w:rFonts w:hint="eastAsia"/>
          <w:color w:val="auto"/>
          <w:lang w:eastAsia="zh-CN"/>
        </w:rPr>
        <w:t>及其实施细则，</w:t>
      </w:r>
      <w:r>
        <w:rPr>
          <w:rFonts w:hint="eastAsia"/>
          <w:color w:val="auto"/>
          <w:lang w:val="en-US" w:eastAsia="zh-CN"/>
        </w:rPr>
        <w:t>确保有限财政资源充分发挥效益。如研发机构建设方面，建议联动商务等相关部门建立信息共享机制，畅通境外研发机构备案、企业科创融资等信息获取渠道，针对性开展政策宣讲、优化执行细则，切实盘活财政资金，充分发挥扶持政策激励效能。</w:t>
      </w:r>
    </w:p>
    <w:p>
      <w:pPr>
        <w:pStyle w:val="16"/>
        <w:bidi w:val="0"/>
        <w:rPr>
          <w:rFonts w:hint="eastAsia"/>
          <w:color w:val="auto"/>
          <w:lang w:val="en-US" w:eastAsia="zh-CN"/>
        </w:rPr>
      </w:pPr>
      <w:bookmarkStart w:id="19" w:name="_Toc26635"/>
      <w:r>
        <w:rPr>
          <w:rFonts w:hint="eastAsia"/>
          <w:color w:val="auto"/>
          <w:lang w:val="en-US" w:eastAsia="zh-CN"/>
        </w:rPr>
        <w:t>（二）优化扶持导向与资源配置，提升政策精准赋能质效</w:t>
      </w:r>
      <w:bookmarkEnd w:id="19"/>
    </w:p>
    <w:p>
      <w:pPr>
        <w:pStyle w:val="17"/>
        <w:bidi w:val="0"/>
        <w:rPr>
          <w:rFonts w:hint="default"/>
          <w:color w:val="auto"/>
          <w:highlight w:val="none"/>
          <w:lang w:val="en-US" w:eastAsia="zh-CN"/>
        </w:rPr>
      </w:pPr>
      <w:r>
        <w:rPr>
          <w:rFonts w:hint="eastAsia"/>
          <w:b/>
          <w:bCs/>
          <w:color w:val="auto"/>
          <w:highlight w:val="none"/>
          <w:lang w:val="en-US" w:eastAsia="zh-CN"/>
        </w:rPr>
        <w:t>一是</w:t>
      </w:r>
      <w:r>
        <w:rPr>
          <w:rFonts w:hint="eastAsia"/>
          <w:color w:val="auto"/>
          <w:highlight w:val="none"/>
          <w:lang w:val="en-US" w:eastAsia="zh-CN"/>
        </w:rPr>
        <w:t>优化政策条款设计，提升财政扶持资源精准性。建议今后政策实施过程中，松山湖科技创新局紧扣创新驱动高质量发展目标，组织开展辖区科技企业需求摸底调研，结合辖区科技企业发展层级、创新能级、产业贡献以及科技成果转化项目落地等实施现状，细化完善扶持政策条款，合理设定扶持标准、扶持条件与申报门槛，切实提升财政资金使用效益与政策实施可持续性。另外，建议开展延续性政策措施的实施效能评估，梳理政策实施效果不佳的问题及成因，动态优化财政资金配置结构，避免出现重复低效投入等情况。</w:t>
      </w:r>
    </w:p>
    <w:p>
      <w:pPr>
        <w:pStyle w:val="17"/>
        <w:bidi w:val="0"/>
        <w:rPr>
          <w:rFonts w:hint="default"/>
          <w:color w:val="auto"/>
          <w:lang w:val="en-US" w:eastAsia="zh-CN"/>
        </w:rPr>
      </w:pPr>
      <w:r>
        <w:rPr>
          <w:rFonts w:hint="eastAsia"/>
          <w:b/>
          <w:bCs/>
          <w:color w:val="auto"/>
          <w:lang w:val="en-US" w:eastAsia="zh-CN"/>
        </w:rPr>
        <w:t>二是</w:t>
      </w:r>
      <w:r>
        <w:rPr>
          <w:rFonts w:hint="eastAsia"/>
          <w:color w:val="auto"/>
          <w:lang w:val="en-US" w:eastAsia="zh-CN"/>
        </w:rPr>
        <w:t>优化考核指标体系，提升孵化器培育质量。建议松山湖科技创新局</w:t>
      </w:r>
      <w:r>
        <w:rPr>
          <w:rFonts w:hint="eastAsia"/>
          <w:color w:val="auto"/>
        </w:rPr>
        <w:t>紧扣松山湖成果转化、科创赋能、产业升级的政策目标</w:t>
      </w:r>
      <w:r>
        <w:rPr>
          <w:rFonts w:hint="eastAsia"/>
          <w:color w:val="auto"/>
          <w:lang w:eastAsia="zh-CN"/>
        </w:rPr>
        <w:t>，</w:t>
      </w:r>
      <w:r>
        <w:rPr>
          <w:rFonts w:hint="eastAsia"/>
          <w:color w:val="auto"/>
          <w:lang w:val="en-US" w:eastAsia="zh-CN"/>
        </w:rPr>
        <w:t>积极</w:t>
      </w:r>
      <w:r>
        <w:rPr>
          <w:rFonts w:hint="eastAsia"/>
          <w:color w:val="auto"/>
        </w:rPr>
        <w:t>构建“规模数量、服务效能、培育质量、运营能力”综合考核体系</w:t>
      </w:r>
      <w:r>
        <w:rPr>
          <w:rFonts w:hint="eastAsia"/>
          <w:color w:val="auto"/>
          <w:lang w:eastAsia="zh-CN"/>
        </w:rPr>
        <w:t>，</w:t>
      </w:r>
      <w:r>
        <w:rPr>
          <w:rFonts w:hint="eastAsia"/>
          <w:color w:val="auto"/>
        </w:rPr>
        <w:t>围绕服务过程、服务质量、企业培育效益、运营管理能力等考核维度，新增提高服务效能、企业成长、培育质量等效益类指标，</w:t>
      </w:r>
      <w:r>
        <w:rPr>
          <w:rFonts w:hint="eastAsia"/>
          <w:color w:val="auto"/>
          <w:lang w:val="en-US" w:eastAsia="zh-CN"/>
        </w:rPr>
        <w:t>积极</w:t>
      </w:r>
      <w:r>
        <w:rPr>
          <w:rFonts w:hint="eastAsia"/>
          <w:color w:val="auto"/>
        </w:rPr>
        <w:t>引导辖区孵化器由规模扩张向高质量专业化运营转型</w:t>
      </w:r>
      <w:r>
        <w:rPr>
          <w:rFonts w:hint="eastAsia"/>
          <w:color w:val="auto"/>
          <w:lang w:eastAsia="zh-CN"/>
        </w:rPr>
        <w:t>，</w:t>
      </w:r>
      <w:r>
        <w:rPr>
          <w:rFonts w:hint="eastAsia"/>
          <w:color w:val="auto"/>
          <w:lang w:val="en-US" w:eastAsia="zh-CN"/>
        </w:rPr>
        <w:t>促进</w:t>
      </w:r>
      <w:r>
        <w:rPr>
          <w:rFonts w:hint="eastAsia"/>
          <w:color w:val="auto"/>
        </w:rPr>
        <w:t>提升辖区</w:t>
      </w:r>
      <w:r>
        <w:rPr>
          <w:rFonts w:hint="eastAsia"/>
          <w:color w:val="auto"/>
          <w:lang w:val="en-US" w:eastAsia="zh-CN"/>
        </w:rPr>
        <w:t>孵化器服务</w:t>
      </w:r>
      <w:r>
        <w:rPr>
          <w:rFonts w:hint="eastAsia"/>
          <w:color w:val="auto"/>
        </w:rPr>
        <w:t>质效。</w:t>
      </w:r>
      <w:r>
        <w:rPr>
          <w:rFonts w:hint="eastAsia"/>
          <w:color w:val="auto"/>
          <w:lang w:val="en-US" w:eastAsia="zh-CN"/>
        </w:rPr>
        <w:t>如：</w:t>
      </w:r>
      <w:r>
        <w:rPr>
          <w:rFonts w:hint="eastAsia"/>
          <w:color w:val="auto"/>
        </w:rPr>
        <w:t>聚焦松山湖战略性新兴产业培育需求，</w:t>
      </w:r>
      <w:r>
        <w:rPr>
          <w:rFonts w:hint="eastAsia"/>
          <w:color w:val="auto"/>
          <w:lang w:val="en-US" w:eastAsia="zh-CN"/>
        </w:rPr>
        <w:t>考虑将</w:t>
      </w:r>
      <w:r>
        <w:rPr>
          <w:rFonts w:hint="eastAsia"/>
          <w:color w:val="auto"/>
        </w:rPr>
        <w:t>技术服务、投融资对接、校企协同等实质性科创服务落地情况纳入考核</w:t>
      </w:r>
      <w:r>
        <w:rPr>
          <w:rFonts w:hint="eastAsia"/>
          <w:color w:val="auto"/>
          <w:lang w:val="en-US" w:eastAsia="zh-CN"/>
        </w:rPr>
        <w:t>范围</w:t>
      </w:r>
      <w:r>
        <w:rPr>
          <w:rFonts w:hint="eastAsia"/>
          <w:color w:val="auto"/>
          <w:lang w:eastAsia="zh-CN"/>
        </w:rPr>
        <w:t>，</w:t>
      </w:r>
      <w:r>
        <w:rPr>
          <w:rFonts w:hint="eastAsia"/>
          <w:color w:val="auto"/>
          <w:lang w:val="en-US" w:eastAsia="zh-CN"/>
        </w:rPr>
        <w:t>同时增设企业培育效益指标（如</w:t>
      </w:r>
      <w:r>
        <w:rPr>
          <w:rFonts w:hint="eastAsia"/>
          <w:color w:val="auto"/>
        </w:rPr>
        <w:t>入驻企业营收提升、知识产权产出、科技成果本地转化</w:t>
      </w:r>
      <w:r>
        <w:rPr>
          <w:rFonts w:hint="eastAsia"/>
          <w:color w:val="auto"/>
          <w:lang w:val="en-US" w:eastAsia="zh-CN"/>
        </w:rPr>
        <w:t>等），全面客观评价孵化器实际运营能力与孵化成效，充分发挥评优考核激励约束作用。</w:t>
      </w:r>
    </w:p>
    <w:p>
      <w:pPr>
        <w:pStyle w:val="16"/>
        <w:bidi w:val="0"/>
        <w:rPr>
          <w:rFonts w:hint="eastAsia"/>
          <w:color w:val="auto"/>
          <w:lang w:val="en-US" w:eastAsia="zh-CN"/>
        </w:rPr>
      </w:pPr>
      <w:bookmarkStart w:id="20" w:name="_Toc26757"/>
      <w:r>
        <w:rPr>
          <w:rFonts w:hint="eastAsia"/>
          <w:color w:val="auto"/>
          <w:lang w:val="en-US" w:eastAsia="zh-CN"/>
        </w:rPr>
        <w:t>（三）强化预算绩效管理意识，提升绩效目标设置质量</w:t>
      </w:r>
      <w:bookmarkEnd w:id="20"/>
    </w:p>
    <w:p>
      <w:pPr>
        <w:pStyle w:val="17"/>
        <w:bidi w:val="0"/>
        <w:rPr>
          <w:rFonts w:hint="default"/>
          <w:color w:val="auto"/>
          <w:lang w:val="en-US" w:eastAsia="zh-CN"/>
        </w:rPr>
      </w:pPr>
      <w:r>
        <w:rPr>
          <w:rFonts w:hint="default"/>
          <w:b/>
          <w:bCs/>
          <w:color w:val="auto"/>
          <w:lang w:val="en-US" w:eastAsia="zh-CN"/>
        </w:rPr>
        <w:t>一是</w:t>
      </w:r>
      <w:r>
        <w:rPr>
          <w:rFonts w:hint="default"/>
          <w:color w:val="auto"/>
          <w:lang w:val="en-US" w:eastAsia="zh-CN"/>
        </w:rPr>
        <w:t>围绕政策目的，精准设定绩效目标。</w:t>
      </w:r>
      <w:r>
        <w:rPr>
          <w:rFonts w:hint="eastAsia"/>
          <w:color w:val="auto"/>
          <w:lang w:val="en-US" w:eastAsia="zh-CN"/>
        </w:rPr>
        <w:t>建议今后工作中，松山湖科技创新局应</w:t>
      </w:r>
      <w:r>
        <w:rPr>
          <w:rFonts w:hint="default"/>
          <w:color w:val="auto"/>
          <w:lang w:val="en-US" w:eastAsia="zh-CN"/>
        </w:rPr>
        <w:t>围绕扶持政策实施</w:t>
      </w:r>
      <w:r>
        <w:rPr>
          <w:rFonts w:hint="eastAsia"/>
          <w:color w:val="auto"/>
          <w:lang w:val="en-US" w:eastAsia="zh-CN"/>
        </w:rPr>
        <w:t>目标</w:t>
      </w:r>
      <w:r>
        <w:rPr>
          <w:rFonts w:hint="default"/>
          <w:color w:val="auto"/>
          <w:lang w:val="en-US" w:eastAsia="zh-CN"/>
        </w:rPr>
        <w:t>、</w:t>
      </w:r>
      <w:r>
        <w:rPr>
          <w:rFonts w:hint="eastAsia"/>
          <w:color w:val="auto"/>
          <w:lang w:val="en-US" w:eastAsia="zh-CN"/>
        </w:rPr>
        <w:t>年度</w:t>
      </w:r>
      <w:r>
        <w:rPr>
          <w:rFonts w:hint="default"/>
          <w:color w:val="auto"/>
          <w:lang w:val="en-US" w:eastAsia="zh-CN"/>
        </w:rPr>
        <w:t>工作任务及</w:t>
      </w:r>
      <w:r>
        <w:rPr>
          <w:rFonts w:hint="eastAsia"/>
          <w:color w:val="auto"/>
          <w:lang w:val="en-US" w:eastAsia="zh-CN"/>
        </w:rPr>
        <w:t>财政</w:t>
      </w:r>
      <w:r>
        <w:rPr>
          <w:rFonts w:hint="default"/>
          <w:color w:val="auto"/>
          <w:lang w:val="en-US" w:eastAsia="zh-CN"/>
        </w:rPr>
        <w:t>资金投入方向，结合辖区</w:t>
      </w:r>
      <w:r>
        <w:rPr>
          <w:rFonts w:hint="eastAsia"/>
          <w:color w:val="auto"/>
          <w:lang w:val="en-US" w:eastAsia="zh-CN"/>
        </w:rPr>
        <w:t>科技创新</w:t>
      </w:r>
      <w:r>
        <w:rPr>
          <w:rFonts w:hint="default"/>
          <w:color w:val="auto"/>
          <w:lang w:val="en-US" w:eastAsia="zh-CN"/>
        </w:rPr>
        <w:t>产业发展实际、平台建设现状及企业创新需求，</w:t>
      </w:r>
      <w:r>
        <w:rPr>
          <w:rFonts w:hint="eastAsia"/>
          <w:color w:val="auto"/>
          <w:lang w:val="en-US" w:eastAsia="zh-CN"/>
        </w:rPr>
        <w:t>科学</w:t>
      </w:r>
      <w:r>
        <w:rPr>
          <w:rFonts w:hint="default"/>
          <w:color w:val="auto"/>
          <w:lang w:val="en-US" w:eastAsia="zh-CN"/>
        </w:rPr>
        <w:t>设置</w:t>
      </w:r>
      <w:r>
        <w:rPr>
          <w:rFonts w:hint="eastAsia"/>
          <w:color w:val="auto"/>
          <w:lang w:val="en-US" w:eastAsia="zh-CN"/>
        </w:rPr>
        <w:t>扶持政策绩效指标</w:t>
      </w:r>
      <w:r>
        <w:rPr>
          <w:rFonts w:hint="default"/>
          <w:color w:val="auto"/>
          <w:lang w:val="en-US" w:eastAsia="zh-CN"/>
        </w:rPr>
        <w:t>，客观全面反映财政资金使用效能</w:t>
      </w:r>
      <w:r>
        <w:rPr>
          <w:rFonts w:hint="eastAsia"/>
          <w:color w:val="auto"/>
          <w:lang w:val="en-US" w:eastAsia="zh-CN"/>
        </w:rPr>
        <w:t>及政策实施成效</w:t>
      </w:r>
      <w:r>
        <w:rPr>
          <w:rFonts w:hint="default"/>
          <w:color w:val="auto"/>
          <w:lang w:val="en-US" w:eastAsia="zh-CN"/>
        </w:rPr>
        <w:t>。</w:t>
      </w:r>
      <w:r>
        <w:rPr>
          <w:rFonts w:hint="eastAsia"/>
          <w:color w:val="auto"/>
          <w:lang w:val="en-US" w:eastAsia="zh-CN"/>
        </w:rPr>
        <w:t>如：建议考虑增设“年度新增落地的概念验证、中试平台建设项目数量”“平台对外科创服务覆盖企业数量”等指标，</w:t>
      </w:r>
      <w:r>
        <w:rPr>
          <w:rFonts w:hint="default"/>
          <w:color w:val="auto"/>
          <w:lang w:val="en-US" w:eastAsia="zh-CN"/>
        </w:rPr>
        <w:t>凸显财政资金在科创平台培育、技术成果转化、企业创新发展等</w:t>
      </w:r>
      <w:r>
        <w:rPr>
          <w:rFonts w:hint="eastAsia"/>
          <w:color w:val="auto"/>
          <w:lang w:val="en-US" w:eastAsia="zh-CN"/>
        </w:rPr>
        <w:t>政策</w:t>
      </w:r>
      <w:r>
        <w:rPr>
          <w:rFonts w:hint="default"/>
          <w:color w:val="auto"/>
          <w:lang w:val="en-US" w:eastAsia="zh-CN"/>
        </w:rPr>
        <w:t>实施成效。</w:t>
      </w:r>
    </w:p>
    <w:p>
      <w:pPr>
        <w:pStyle w:val="17"/>
        <w:bidi w:val="0"/>
        <w:rPr>
          <w:rFonts w:hint="eastAsia"/>
          <w:color w:val="auto"/>
          <w:lang w:val="en-US" w:eastAsia="zh-CN"/>
        </w:rPr>
      </w:pPr>
      <w:r>
        <w:rPr>
          <w:rFonts w:hint="default"/>
          <w:b/>
          <w:bCs/>
          <w:color w:val="auto"/>
          <w:lang w:val="en-US" w:eastAsia="zh-CN"/>
        </w:rPr>
        <w:t>二是</w:t>
      </w:r>
      <w:r>
        <w:rPr>
          <w:rFonts w:hint="default"/>
          <w:color w:val="auto"/>
          <w:lang w:val="en-US" w:eastAsia="zh-CN"/>
        </w:rPr>
        <w:t>确定科学的绩效标准，合理设置</w:t>
      </w:r>
      <w:r>
        <w:rPr>
          <w:rFonts w:hint="eastAsia"/>
          <w:color w:val="auto"/>
          <w:lang w:val="en-US" w:eastAsia="zh-CN"/>
        </w:rPr>
        <w:t>年度目标值</w:t>
      </w:r>
      <w:r>
        <w:rPr>
          <w:rFonts w:hint="default"/>
          <w:color w:val="auto"/>
          <w:lang w:val="en-US" w:eastAsia="zh-CN"/>
        </w:rPr>
        <w:t>。</w:t>
      </w:r>
      <w:r>
        <w:rPr>
          <w:rFonts w:hint="eastAsia"/>
          <w:color w:val="auto"/>
          <w:lang w:val="en-US" w:eastAsia="zh-CN"/>
        </w:rPr>
        <w:t>建议松山湖科技创新局</w:t>
      </w:r>
      <w:r>
        <w:rPr>
          <w:rFonts w:hint="default"/>
          <w:color w:val="auto"/>
          <w:lang w:val="en-US" w:eastAsia="zh-CN"/>
        </w:rPr>
        <w:t>遵循</w:t>
      </w:r>
      <w:r>
        <w:rPr>
          <w:rFonts w:hint="eastAsia"/>
          <w:color w:val="auto"/>
          <w:lang w:val="en-US" w:eastAsia="zh-CN"/>
        </w:rPr>
        <w:t>“</w:t>
      </w:r>
      <w:r>
        <w:rPr>
          <w:rFonts w:hint="default"/>
          <w:color w:val="auto"/>
          <w:lang w:val="en-US" w:eastAsia="zh-CN"/>
        </w:rPr>
        <w:t>指向明确、细化量化、合理可行、匹配统一</w:t>
      </w:r>
      <w:r>
        <w:rPr>
          <w:rFonts w:hint="eastAsia"/>
          <w:color w:val="auto"/>
          <w:lang w:val="en-US" w:eastAsia="zh-CN"/>
        </w:rPr>
        <w:t>”</w:t>
      </w:r>
      <w:r>
        <w:rPr>
          <w:rFonts w:hint="default"/>
          <w:color w:val="auto"/>
          <w:lang w:val="en-US" w:eastAsia="zh-CN"/>
        </w:rPr>
        <w:t>的</w:t>
      </w:r>
      <w:r>
        <w:rPr>
          <w:rFonts w:hint="eastAsia"/>
          <w:color w:val="auto"/>
          <w:lang w:val="en-US" w:eastAsia="zh-CN"/>
        </w:rPr>
        <w:t>目标</w:t>
      </w:r>
      <w:r>
        <w:rPr>
          <w:rFonts w:hint="default"/>
          <w:color w:val="auto"/>
          <w:lang w:val="en-US" w:eastAsia="zh-CN"/>
        </w:rPr>
        <w:t>编制原则，</w:t>
      </w:r>
      <w:r>
        <w:rPr>
          <w:rFonts w:hint="eastAsia"/>
          <w:color w:val="auto"/>
          <w:lang w:val="en-US" w:eastAsia="zh-CN"/>
        </w:rPr>
        <w:t>紧扣</w:t>
      </w:r>
      <w:r>
        <w:rPr>
          <w:rFonts w:hint="default"/>
          <w:color w:val="auto"/>
          <w:lang w:val="en-US" w:eastAsia="zh-CN"/>
        </w:rPr>
        <w:t>预算投入规模、资金支出范围及政策实施内容，强化绩效指标与科创</w:t>
      </w:r>
      <w:r>
        <w:rPr>
          <w:rFonts w:hint="eastAsia"/>
          <w:color w:val="auto"/>
          <w:lang w:val="en-US" w:eastAsia="zh-CN"/>
        </w:rPr>
        <w:t>政策</w:t>
      </w:r>
      <w:r>
        <w:rPr>
          <w:rFonts w:hint="default"/>
          <w:color w:val="auto"/>
          <w:lang w:val="en-US" w:eastAsia="zh-CN"/>
        </w:rPr>
        <w:t>、扶持资金的关联性与匹配度</w:t>
      </w:r>
      <w:r>
        <w:rPr>
          <w:rFonts w:hint="eastAsia"/>
          <w:color w:val="auto"/>
          <w:lang w:val="en-US" w:eastAsia="zh-CN"/>
        </w:rPr>
        <w:t>。如：</w:t>
      </w:r>
      <w:r>
        <w:rPr>
          <w:rFonts w:hint="default"/>
          <w:color w:val="auto"/>
          <w:lang w:val="en-US" w:eastAsia="zh-CN"/>
        </w:rPr>
        <w:t>充分结合历年政策兑现数据、技术交易</w:t>
      </w:r>
      <w:r>
        <w:rPr>
          <w:rFonts w:hint="eastAsia"/>
          <w:color w:val="auto"/>
          <w:lang w:val="en-US" w:eastAsia="zh-CN"/>
        </w:rPr>
        <w:t>实现情况</w:t>
      </w:r>
      <w:r>
        <w:rPr>
          <w:rFonts w:hint="default"/>
          <w:color w:val="auto"/>
          <w:lang w:val="en-US" w:eastAsia="zh-CN"/>
        </w:rPr>
        <w:t>、科创载体存量及行业发展趋势</w:t>
      </w:r>
      <w:r>
        <w:rPr>
          <w:rFonts w:hint="eastAsia"/>
          <w:color w:val="auto"/>
          <w:lang w:val="en-US" w:eastAsia="zh-CN"/>
        </w:rPr>
        <w:t>等情况，做细做实做优符合科创扶持政策特性、易衡量考核的绩效指标，切实发挥绩效目标的引领导向和刚性约束作用。</w:t>
      </w:r>
    </w:p>
    <w:p>
      <w:pPr>
        <w:pStyle w:val="17"/>
        <w:bidi w:val="0"/>
        <w:ind w:firstLine="0" w:firstLineChars="0"/>
        <w:rPr>
          <w:rFonts w:hint="eastAsia"/>
          <w:color w:val="auto"/>
          <w:lang w:val="en-US" w:eastAsia="zh-CN"/>
        </w:rPr>
      </w:pPr>
    </w:p>
    <w:p>
      <w:pPr>
        <w:pStyle w:val="17"/>
        <w:bidi w:val="0"/>
        <w:rPr>
          <w:rFonts w:hint="eastAsia"/>
          <w:color w:val="auto"/>
          <w:lang w:val="en-US" w:eastAsia="zh-CN"/>
        </w:rPr>
      </w:pPr>
      <w:r>
        <w:rPr>
          <w:rFonts w:hint="eastAsia"/>
          <w:color w:val="auto"/>
          <w:lang w:val="en-US" w:eastAsia="zh-CN"/>
        </w:rPr>
        <w:t>附件：1.绩效评价指标体系</w:t>
      </w:r>
    </w:p>
    <w:p>
      <w:pPr>
        <w:pStyle w:val="17"/>
        <w:bidi w:val="0"/>
        <w:ind w:firstLine="1600" w:firstLineChars="500"/>
        <w:rPr>
          <w:rFonts w:hint="default"/>
          <w:color w:val="auto"/>
          <w:lang w:val="en-US" w:eastAsia="zh-CN"/>
        </w:rPr>
      </w:pPr>
      <w:r>
        <w:rPr>
          <w:rFonts w:hint="eastAsia"/>
          <w:color w:val="auto"/>
          <w:lang w:val="en-US" w:eastAsia="zh-CN"/>
        </w:rPr>
        <w:t>2.绩效评价满意度调查结果统计表</w:t>
      </w:r>
    </w:p>
    <w:p>
      <w:pPr>
        <w:pStyle w:val="17"/>
        <w:bidi w:val="0"/>
        <w:rPr>
          <w:rFonts w:hint="default"/>
          <w:color w:val="auto"/>
          <w:lang w:val="en-US" w:eastAsia="zh-CN"/>
        </w:rPr>
        <w:sectPr>
          <w:footerReference r:id="rId5" w:type="default"/>
          <w:pgSz w:w="11906" w:h="16838"/>
          <w:pgMar w:top="2041" w:right="1417" w:bottom="1417" w:left="1531" w:header="851" w:footer="992" w:gutter="0"/>
          <w:pgNumType w:fmt="numberInDash" w:start="1"/>
          <w:cols w:space="425" w:num="1"/>
          <w:docGrid w:type="lines" w:linePitch="312" w:charSpace="0"/>
        </w:sectPr>
      </w:pPr>
    </w:p>
    <w:p>
      <w:pPr>
        <w:pStyle w:val="15"/>
        <w:bidi w:val="0"/>
        <w:ind w:left="0" w:leftChars="0" w:firstLine="0" w:firstLineChars="0"/>
        <w:rPr>
          <w:rFonts w:hint="eastAsia"/>
          <w:color w:val="auto"/>
          <w:lang w:val="en-US" w:eastAsia="zh-CN"/>
        </w:rPr>
      </w:pPr>
      <w:bookmarkStart w:id="21" w:name="_Toc4950"/>
      <w:r>
        <w:rPr>
          <w:rFonts w:hint="eastAsia"/>
          <w:color w:val="auto"/>
          <w:lang w:val="en-US" w:eastAsia="zh-CN"/>
        </w:rPr>
        <w:t>附件1.绩效评价指标体系</w:t>
      </w:r>
      <w:bookmarkEnd w:id="21"/>
    </w:p>
    <w:tbl>
      <w:tblPr>
        <w:tblStyle w:val="10"/>
        <w:tblW w:w="5069" w:type="pct"/>
        <w:tblInd w:w="-19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2"/>
        <w:gridCol w:w="848"/>
        <w:gridCol w:w="837"/>
        <w:gridCol w:w="700"/>
        <w:gridCol w:w="2458"/>
        <w:gridCol w:w="3878"/>
        <w:gridCol w:w="850"/>
        <w:gridCol w:w="346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272"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一级指标</w:t>
            </w:r>
          </w:p>
        </w:tc>
        <w:tc>
          <w:tcPr>
            <w:tcW w:w="307"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二级指标</w:t>
            </w:r>
          </w:p>
        </w:tc>
        <w:tc>
          <w:tcPr>
            <w:tcW w:w="303"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三级指标</w:t>
            </w:r>
          </w:p>
        </w:tc>
        <w:tc>
          <w:tcPr>
            <w:tcW w:w="253"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分值</w:t>
            </w:r>
          </w:p>
        </w:tc>
        <w:tc>
          <w:tcPr>
            <w:tcW w:w="891"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指标解释</w:t>
            </w:r>
          </w:p>
        </w:tc>
        <w:tc>
          <w:tcPr>
            <w:tcW w:w="1406"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评价要点及评分标准</w:t>
            </w:r>
          </w:p>
        </w:tc>
        <w:tc>
          <w:tcPr>
            <w:tcW w:w="308"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评价得分</w:t>
            </w:r>
          </w:p>
        </w:tc>
        <w:tc>
          <w:tcPr>
            <w:tcW w:w="1255"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noWrap/>
            <w:vAlign w:val="center"/>
          </w:tcPr>
          <w:p>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评分说明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16" w:hRule="atLeast"/>
        </w:trPr>
        <w:tc>
          <w:tcPr>
            <w:tcW w:w="2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决策（16分）</w:t>
            </w:r>
          </w:p>
        </w:tc>
        <w:tc>
          <w:tcPr>
            <w:tcW w:w="3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政策立项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立项依据充分性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政策和项目立项是否符合法律法规、上级政策、发展规划以及部门职责，用以反映和考核政策和项目立项依据情况。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①是否符合国家相关法律法规、国民经济发展规划和管委会及区政府决策；</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②是否符合行业发展规划和政策要求；</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③是否与部门职责范围相符，属于部门履职所需；</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④政策和项目是否属于公共财政支持范围；</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⑤政策和项目是否与相关部门同类政策和项目或部门内部相关政策和项目重复。</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①完全符合各项要点得满分。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②每发现1项不符合要点的，扣0.5分，直至0分。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b/>
                <w:bCs/>
                <w:i w:val="0"/>
                <w:iCs w:val="0"/>
                <w:color w:val="auto"/>
                <w:sz w:val="24"/>
                <w:szCs w:val="24"/>
                <w:u w:val="none"/>
              </w:rPr>
            </w:pPr>
            <w:r>
              <w:rPr>
                <w:rFonts w:hint="default" w:ascii="Times New Roman" w:hAnsi="Times New Roman" w:eastAsia="仿宋_GB2312" w:cs="Times New Roman"/>
                <w:b/>
                <w:bCs/>
                <w:i w:val="0"/>
                <w:iCs w:val="0"/>
                <w:color w:val="auto"/>
                <w:kern w:val="0"/>
                <w:sz w:val="24"/>
                <w:szCs w:val="24"/>
                <w:u w:val="none"/>
                <w:lang w:val="en-US" w:eastAsia="zh-CN" w:bidi="ar"/>
              </w:rPr>
              <w:t>一是</w:t>
            </w:r>
            <w:r>
              <w:rPr>
                <w:rFonts w:hint="default" w:ascii="Times New Roman" w:hAnsi="Times New Roman" w:eastAsia="仿宋_GB2312" w:cs="Times New Roman"/>
                <w:i w:val="0"/>
                <w:iCs w:val="0"/>
                <w:color w:val="auto"/>
                <w:kern w:val="0"/>
                <w:sz w:val="24"/>
                <w:szCs w:val="24"/>
                <w:u w:val="none"/>
                <w:lang w:val="en-US" w:eastAsia="zh-CN" w:bidi="ar"/>
              </w:rPr>
              <w:t>政策立项既符合《“十四五”国家科技创新规划》《粤港澳发完去发展规划纲要》等文件要求，也是贯彻落实省委“1310”</w:t>
            </w:r>
            <w:r>
              <w:rPr>
                <w:rFonts w:hint="eastAsia" w:ascii="Times New Roman" w:hAnsi="Times New Roman" w:eastAsia="仿宋_GB2312" w:cs="Times New Roman"/>
                <w:i w:val="0"/>
                <w:iCs w:val="0"/>
                <w:color w:val="auto"/>
                <w:kern w:val="0"/>
                <w:sz w:val="24"/>
                <w:szCs w:val="24"/>
                <w:u w:val="none"/>
                <w:lang w:val="en-US" w:eastAsia="zh-CN" w:bidi="ar"/>
              </w:rPr>
              <w:t>具体</w:t>
            </w:r>
            <w:r>
              <w:rPr>
                <w:rFonts w:hint="default" w:ascii="Times New Roman" w:hAnsi="Times New Roman" w:eastAsia="仿宋_GB2312" w:cs="Times New Roman"/>
                <w:i w:val="0"/>
                <w:iCs w:val="0"/>
                <w:color w:val="auto"/>
                <w:kern w:val="0"/>
                <w:sz w:val="24"/>
                <w:szCs w:val="24"/>
                <w:u w:val="none"/>
                <w:lang w:val="en-US" w:eastAsia="zh-CN" w:bidi="ar"/>
              </w:rPr>
              <w:t>部署和省市高质量发展大会精神，全过程赋能产业高质量发展，促进科技产业互促双强的重要举措，对支持大湾区综合性国家科学中心先行启动区（松山湖科学城）建设具有重要意义。</w:t>
            </w:r>
            <w:r>
              <w:rPr>
                <w:rStyle w:val="24"/>
                <w:rFonts w:hint="default" w:ascii="Times New Roman" w:hAnsi="Times New Roman" w:eastAsia="仿宋_GB2312" w:cs="Times New Roman"/>
                <w:color w:val="auto"/>
                <w:sz w:val="24"/>
                <w:szCs w:val="24"/>
                <w:lang w:val="en-US" w:eastAsia="zh-CN" w:bidi="ar"/>
              </w:rPr>
              <w:t>二是</w:t>
            </w:r>
            <w:r>
              <w:rPr>
                <w:rFonts w:hint="default" w:ascii="Times New Roman" w:hAnsi="Times New Roman" w:eastAsia="仿宋_GB2312" w:cs="Times New Roman"/>
                <w:i w:val="0"/>
                <w:iCs w:val="0"/>
                <w:color w:val="auto"/>
                <w:kern w:val="0"/>
                <w:sz w:val="24"/>
                <w:szCs w:val="24"/>
                <w:u w:val="none"/>
                <w:lang w:val="en-US" w:eastAsia="zh-CN" w:bidi="ar"/>
              </w:rPr>
              <w:t>政策立项符合松山湖科技创新局</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统筹推进开发区科技成果转移转化体系建设、科技服务体系建设、科技企业孵化育成体系建设。组织实施产学研结合、高新技术以及战略性新兴产业发展的政策和措施。负责开发区科技项目申报、培育和引入，管理科技项目资金</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的部门职责规划，项目资金支出属于公共财政支持范围。综上，本项政策立项依据基本充分。根据评分标准，此项指标不扣分。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立项程序规范性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政策和项目申请、设立过程是否符合相关要求，用以反映和考核政策和项目立项的规范情况。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①事前是否已经经过必要的可行性研究、专家论证、风险评估、绩效评估、集体决策；</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②政策和项目是否按规定的程序申请设立；</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③审批文件、材料是否符合相关要求。</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①完全符合各项要点得满分。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②每发现1项不符合要点的，扣0.5分，直至0分。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2025年6月，松山湖科技创新局组织开展政策事前绩效评估工作，形成《项目支出事前绩效评审报告》《2024年政策实施评估报告》等材料。同年9月，经松山湖管委会会议讨论，同意印发实施《东莞松山湖科技赋能产业高质量发展实施办法》（东松规〔2025〕2号），并形成相关会议纪要文件等材料。综上，本政策立项程序基本规范。根据评分标准，此项指标不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政策目标</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（10分）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绩效目标合理性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政策和项目所设定的绩效目标是否依据充分，是否符合客观实际，用以反映政策和项目绩效目标与政策和项目实施的相符情况。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①完整性：政策和项目是否有绩效目标</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能否清</w:t>
            </w:r>
            <w:r>
              <w:rPr>
                <w:rFonts w:hint="eastAsia" w:ascii="Times New Roman" w:hAnsi="Times New Roman" w:eastAsia="仿宋_GB2312" w:cs="Times New Roman"/>
                <w:i w:val="0"/>
                <w:iCs w:val="0"/>
                <w:color w:val="auto"/>
                <w:kern w:val="0"/>
                <w:sz w:val="24"/>
                <w:szCs w:val="24"/>
                <w:u w:val="none"/>
                <w:lang w:val="en-US" w:eastAsia="zh-CN" w:bidi="ar"/>
              </w:rPr>
              <w:t>楚地</w:t>
            </w:r>
            <w:r>
              <w:rPr>
                <w:rFonts w:hint="default" w:ascii="Times New Roman" w:hAnsi="Times New Roman" w:eastAsia="仿宋_GB2312" w:cs="Times New Roman"/>
                <w:i w:val="0"/>
                <w:iCs w:val="0"/>
                <w:color w:val="auto"/>
                <w:kern w:val="0"/>
                <w:sz w:val="24"/>
                <w:szCs w:val="24"/>
                <w:u w:val="none"/>
                <w:lang w:val="en-US" w:eastAsia="zh-CN" w:bidi="ar"/>
              </w:rPr>
              <w:t>说明政策和项目拟“通过做什么事，实现什么目的”，条理清晰。</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②相关性：政策和项目绩效目标是否直接体现出与政策和项目的关联性（包括政策和项目实施内容的关联性和政策依据的关联性）</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③可行性：政策和项目预期产出效益和效果是否符合正常的业绩水平，没有提出明显不合理（过高或过低）的目标；</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④全面性：是否与预算确定的政策和项目投资额或资金量相匹配，绩效目标能否覆盖资金主要投向。</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①完全符合各项要点得满分。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②每发现1项不符合要点的，扣1分，直至0分。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根据《项目绩效目标表》，本政策能结合年度工作计划，设置总体绩效目标，基本能清</w:t>
            </w:r>
            <w:r>
              <w:rPr>
                <w:rFonts w:hint="eastAsia" w:ascii="Times New Roman" w:hAnsi="Times New Roman" w:eastAsia="仿宋_GB2312" w:cs="Times New Roman"/>
                <w:i w:val="0"/>
                <w:iCs w:val="0"/>
                <w:color w:val="auto"/>
                <w:kern w:val="0"/>
                <w:sz w:val="24"/>
                <w:szCs w:val="24"/>
                <w:u w:val="none"/>
                <w:lang w:val="en-US" w:eastAsia="zh-CN" w:bidi="ar"/>
              </w:rPr>
              <w:t>晰地</w:t>
            </w:r>
            <w:r>
              <w:rPr>
                <w:rFonts w:hint="default" w:ascii="Times New Roman" w:hAnsi="Times New Roman" w:eastAsia="仿宋_GB2312" w:cs="Times New Roman"/>
                <w:i w:val="0"/>
                <w:iCs w:val="0"/>
                <w:color w:val="auto"/>
                <w:kern w:val="0"/>
                <w:sz w:val="24"/>
                <w:szCs w:val="24"/>
                <w:u w:val="none"/>
                <w:lang w:val="en-US" w:eastAsia="zh-CN" w:bidi="ar"/>
              </w:rPr>
              <w:t>说明政策预期实现的总产出和总效益内容。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Style w:val="24"/>
                <w:rFonts w:hint="default" w:ascii="Times New Roman" w:hAnsi="Times New Roman" w:eastAsia="仿宋_GB2312" w:cs="Times New Roman"/>
                <w:color w:val="auto"/>
                <w:sz w:val="24"/>
                <w:szCs w:val="24"/>
                <w:lang w:val="en-US" w:eastAsia="zh-CN" w:bidi="ar"/>
              </w:rPr>
              <w:t>主要存在问题：</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个别绩效目标预期目标值设置合理性不足。如：《项目绩效目标表》提出2025年度绩效目标为“新增技术开发、技术转让和技术许可合同登记数不少于30项”，但本年度实际完成的技术开发、技术转让和技术许可合同登记项目数量较以往年度减少，未实现预期增长目标，该项目标值合理性有待斟酌。</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综上，根据评分标准，此项指标扣1分。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绩效指标明确性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依据绩效目标设定的绩效指标是否全面、细化、可衡量等，用以反映和考核政策和项目绩效目标的明细化及量化情况。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①全面：是否将政策和项目绩效目标细化分解为具体的绩效指标，分别设置了产出类和效益类指标，直接面向社会公众或有明确服务对象的要设满意度指标；</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②细化：是否与政策和项目目标任务数或计划数相对应，指标值取值是否适中合理、有依据、不存在明显偏高或偏低的情形；</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③可衡量：是否通过清晰、可衡量（可评价）的指标值予以体现。</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①完全符合各项要点得满分。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②每发现1项不符合要点的，扣1分，直至0分。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根据《项目绩效目标表》，本政策共设置14个绩效指标，包括成本指标1个、产出指标6个、效益指标5个、满意度指标2个，各项绩效指标基本能设置量化的预期目标值，绩效指标设置基本具备可衡量性。</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Style w:val="24"/>
                <w:rFonts w:hint="default" w:ascii="Times New Roman" w:hAnsi="Times New Roman" w:eastAsia="仿宋_GB2312" w:cs="Times New Roman"/>
                <w:color w:val="auto"/>
                <w:sz w:val="24"/>
                <w:szCs w:val="24"/>
                <w:lang w:val="en-US" w:eastAsia="zh-CN" w:bidi="ar"/>
              </w:rPr>
              <w:t>主要存在问题：</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1.绩效指标设置与政策实施内容、年度财政投入方向衔接性不足。如：2026年度设置的项目绩效指标中，缺少与支持概念验证及中试平台建设财政补贴投入相衔接的产出、效益指标，未能全面反映政策实施成效。</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个别绩效指标的预期目标值设置偏低。如：经济效益指标“新增技术开发、技术转让和技术许可合同技术交易额”年度目标值为“≥5000万元”，实际完成值为“≥5.99亿元”，指标完成率高达1198%，一定程度反映出该项指标的预期目标值设置偏低，未能充分发挥绩效目标导向与考核约束力。</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综上，根据评分标准，此项指标扣2分。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资金投入</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（4分）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预算编制合理性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政策和项目预算编制是否经过科学论证、有明确标准，资金额度与年度目标是否相适应，用以反映和考核政策和项目预算编制的科学性、合理性情况。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①预算编制是否经过科学论证；</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②预算内容与政策和项目内容是否匹配；</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③预算额度测算依据是否充分，是否按照标准编制；</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④预算确定的政策和项目投资额或资金量是否与工作任务相匹配；</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⑤预算编制是否充分考虑财政承受能力。</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①完全符合各项要点得满分。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②每发现1项不符合要点的，扣0.5分，直至0分。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查阅《政策条款汇总表》及年度预期编制相关佐证材料，松山湖科技创新局基本能结合年度工作计划，按标准编制年度预算，预算编制材料基本明确各项政策措施的年度预算总额、测算依据、预期效果等内容。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Style w:val="24"/>
                <w:rFonts w:hint="default" w:ascii="Times New Roman" w:hAnsi="Times New Roman" w:eastAsia="仿宋_GB2312" w:cs="Times New Roman"/>
                <w:color w:val="auto"/>
                <w:sz w:val="24"/>
                <w:szCs w:val="24"/>
                <w:lang w:val="en-US" w:eastAsia="zh-CN" w:bidi="ar"/>
              </w:rPr>
              <w:t>主要存在问题：</w:t>
            </w:r>
            <w:r>
              <w:rPr>
                <w:rStyle w:val="24"/>
                <w:rFonts w:hint="default" w:ascii="Times New Roman" w:hAnsi="Times New Roman" w:eastAsia="仿宋_GB2312" w:cs="Times New Roman"/>
                <w:color w:val="auto"/>
                <w:sz w:val="24"/>
                <w:szCs w:val="24"/>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个别资金前期调研论证不足，导致部分政策扶持资金难以落实，实际支出金额与计划金额差异较大。如：支持研发机构建设年度预算总额为300万元，但因2025年内未有新增省级以上研发机构，且境外研发机构需向商务部门备案等原因，未有企业申报该项政策扶持资金，该项资金支出金额为0。又如：松山湖科技创新局编制年度预算时，</w:t>
            </w:r>
            <w:r>
              <w:rPr>
                <w:rFonts w:hint="eastAsia" w:ascii="Times New Roman" w:hAnsi="Times New Roman" w:eastAsia="仿宋_GB2312" w:cs="Times New Roman"/>
                <w:i w:val="0"/>
                <w:iCs w:val="0"/>
                <w:color w:val="auto"/>
                <w:kern w:val="0"/>
                <w:sz w:val="24"/>
                <w:szCs w:val="24"/>
                <w:u w:val="none"/>
                <w:lang w:val="en-US" w:eastAsia="zh-CN" w:bidi="ar"/>
              </w:rPr>
              <w:t>对辖区内</w:t>
            </w:r>
            <w:r>
              <w:rPr>
                <w:rFonts w:hint="default" w:ascii="Times New Roman" w:hAnsi="Times New Roman" w:eastAsia="仿宋_GB2312" w:cs="Times New Roman"/>
                <w:i w:val="0"/>
                <w:iCs w:val="0"/>
                <w:color w:val="auto"/>
                <w:kern w:val="0"/>
                <w:sz w:val="24"/>
                <w:szCs w:val="24"/>
                <w:u w:val="none"/>
                <w:lang w:val="en-US" w:eastAsia="zh-CN" w:bidi="ar"/>
              </w:rPr>
              <w:t>国家、省、市概念验证中心或中试平台认定的单位数量</w:t>
            </w:r>
            <w:r>
              <w:rPr>
                <w:rFonts w:hint="eastAsia" w:ascii="Times New Roman" w:hAnsi="Times New Roman" w:eastAsia="仿宋_GB2312" w:cs="Times New Roman"/>
                <w:i w:val="0"/>
                <w:iCs w:val="0"/>
                <w:color w:val="auto"/>
                <w:kern w:val="0"/>
                <w:sz w:val="24"/>
                <w:szCs w:val="24"/>
                <w:u w:val="none"/>
                <w:lang w:val="en-US" w:eastAsia="zh-CN" w:bidi="ar"/>
              </w:rPr>
              <w:t>等存量情况研判不够充分</w:t>
            </w:r>
            <w:r>
              <w:rPr>
                <w:rFonts w:hint="default" w:ascii="Times New Roman" w:hAnsi="Times New Roman" w:eastAsia="仿宋_GB2312" w:cs="Times New Roman"/>
                <w:i w:val="0"/>
                <w:iCs w:val="0"/>
                <w:color w:val="auto"/>
                <w:kern w:val="0"/>
                <w:sz w:val="24"/>
                <w:szCs w:val="24"/>
                <w:u w:val="none"/>
                <w:lang w:val="en-US" w:eastAsia="zh-CN" w:bidi="ar"/>
              </w:rPr>
              <w:t>，导致该项政策资金支出率仅为25.50%。</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综上，根据评分标准，此项指标扣1分。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过程（24分）</w:t>
            </w:r>
          </w:p>
        </w:tc>
        <w:tc>
          <w:tcPr>
            <w:tcW w:w="3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资金管理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（14分）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资金使用效率性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政策和项目预算资金是否执行到位，用以反映和考核政策和项目预算资金的执行情况。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①政策和项目实际支出规模是否与政策和项目预算资金相符，以预算支出完成率为主要考核指标；</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预算执行率=（年终执行数/（年初预算数±年中预算调整数））×100%</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年终执行数：政策和项目（用款）单位实际已完成的资金支出数，不含转拨资金数。</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年中预算调整数：指经批准的预算调整数，不含指标分解数。</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②政策和项目资金结余情况及原因分析。</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 xml:space="preserve">①本指标得分=预算执行率×指标分值。 </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3.50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截至2026年6月30日，政策预算安排总额为11000万元，实际支出金额为7691.41万元，总体预算执行率为69.92%，根据评分标准，此项指标扣1.5分。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预算调整变动性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政策和项目预算编制是否有变动，用以反映和考核政策和项目预算与政策和项目内容的相符情况。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①评价年度内政策和项目预算是否有调整；</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②政策和项目预算调整金额及原因分析。</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③预算有调整的，是否履行了相关手续。</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①完全符合各项要点得满分。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②每发现1项不符合要点的，扣0.5分，直至0分。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2025年9月至2026年6月政策实施期间未发生预算调整情况。根据评分标准，此项指标不扣分。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资金使用合规性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政策和项目资金使用是否符合相关的财务管理制度规定，用以反映和考核政策和项目资金的规范运行情况。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①是否符合国家财经法规和财务管理制度以及有关专项资金管理办法的规定；</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②资金的拨付是否有完整的审批程序和手续；</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③政策和项目的重大开支是否经过评估认证；</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④是否符合政策和项目预算批复或合同规定的用途；</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⑤是否存在截留、挤占、挪用、虚列支出等情况。</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①完全符合各项要点得满分。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②每发现1项不符合要点的，扣1分，直至0分。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经查阅财务资料，本项目资金拨付审批程序和手续材料基本完整，资金使用基本符合项目预算批复规定的用途，未发现截留、挤占、挪用、虚列支出等情况。根据评分标准，此项指标不扣分。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组织管理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（10分）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管理制度健全性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项目实施单位财务和业务管理制度是否健全，用以反映和考核财务和业务管理制度对政策和项目顺利实施的保障情况。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①是否已制定或具有相应的财务和业务管理制度；</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②财务和业务管理制度是否合法、合规、完整。</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①完全符合各项要点得满分。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②每发现1项不符合要点的，扣1分，直至0分。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eastAsia" w:ascii="Times New Roman" w:hAnsi="Times New Roman" w:eastAsia="仿宋_GB2312" w:cs="Times New Roman"/>
                <w:i w:val="0"/>
                <w:iCs w:val="0"/>
                <w:color w:val="auto"/>
                <w:kern w:val="0"/>
                <w:sz w:val="24"/>
                <w:szCs w:val="24"/>
                <w:u w:val="none"/>
                <w:lang w:val="en-US" w:eastAsia="zh-CN" w:bidi="ar"/>
              </w:rPr>
              <w:t>2</w:t>
            </w:r>
            <w:r>
              <w:rPr>
                <w:rFonts w:hint="default" w:ascii="Times New Roman" w:hAnsi="Times New Roman" w:eastAsia="仿宋_GB2312" w:cs="Times New Roman"/>
                <w:i w:val="0"/>
                <w:iCs w:val="0"/>
                <w:color w:val="auto"/>
                <w:kern w:val="0"/>
                <w:sz w:val="24"/>
                <w:szCs w:val="24"/>
                <w:u w:val="none"/>
                <w:lang w:val="en-US" w:eastAsia="zh-CN" w:bidi="ar"/>
              </w:rPr>
              <w:t>.</w:t>
            </w:r>
            <w:r>
              <w:rPr>
                <w:rFonts w:hint="eastAsia" w:ascii="Times New Roman" w:hAnsi="Times New Roman" w:eastAsia="仿宋_GB2312" w:cs="Times New Roman"/>
                <w:i w:val="0"/>
                <w:iCs w:val="0"/>
                <w:color w:val="auto"/>
                <w:kern w:val="0"/>
                <w:sz w:val="24"/>
                <w:szCs w:val="24"/>
                <w:u w:val="none"/>
                <w:lang w:val="en-US" w:eastAsia="zh-CN" w:bidi="ar"/>
              </w:rPr>
              <w:t>5</w:t>
            </w:r>
            <w:r>
              <w:rPr>
                <w:rFonts w:hint="default" w:ascii="Times New Roman" w:hAnsi="Times New Roman" w:eastAsia="仿宋_GB2312" w:cs="Times New Roman"/>
                <w:i w:val="0"/>
                <w:iCs w:val="0"/>
                <w:color w:val="auto"/>
                <w:kern w:val="0"/>
                <w:sz w:val="24"/>
                <w:szCs w:val="24"/>
                <w:u w:val="none"/>
                <w:lang w:val="en-US" w:eastAsia="zh-CN" w:bidi="ar"/>
              </w:rPr>
              <w:t>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已制定《东莞松山湖科技赋能产业高质量发展实施办法》（东松规〔2025〕2号）及各类资助项目申报指南等材料，基本明确各项政策申报、审核、拨付、监管等工作流程、职责分工等内容。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Style w:val="24"/>
                <w:rFonts w:hint="default" w:ascii="Times New Roman" w:hAnsi="Times New Roman" w:eastAsia="仿宋_GB2312" w:cs="Times New Roman"/>
                <w:color w:val="auto"/>
                <w:sz w:val="24"/>
                <w:szCs w:val="24"/>
                <w:lang w:val="en-US" w:eastAsia="zh-CN" w:bidi="ar"/>
              </w:rPr>
              <w:t>主要存在问题：</w:t>
            </w:r>
            <w:r>
              <w:rPr>
                <w:rStyle w:val="24"/>
                <w:rFonts w:hint="default" w:ascii="Times New Roman" w:hAnsi="Times New Roman" w:eastAsia="仿宋_GB2312" w:cs="Times New Roman"/>
                <w:color w:val="auto"/>
                <w:sz w:val="24"/>
                <w:szCs w:val="24"/>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松山湖优秀孵化器评分体系设计合理性不足。目前设置的优秀孵化器评分指标侧重于考核孵化企业数量等量化数据，但缺少孵化器服务过程、服务质量、企业培育效益、运营管理能力等评价维度，存在</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重数量、轻效益</w:t>
            </w:r>
            <w:r>
              <w:rPr>
                <w:rFonts w:hint="eastAsia" w:ascii="Times New Roman" w:hAnsi="Times New Roman" w:eastAsia="仿宋_GB2312" w:cs="Times New Roman"/>
                <w:i w:val="0"/>
                <w:iCs w:val="0"/>
                <w:color w:val="auto"/>
                <w:kern w:val="0"/>
                <w:sz w:val="24"/>
                <w:szCs w:val="24"/>
                <w:u w:val="none"/>
                <w:lang w:val="en-US" w:eastAsia="zh-CN" w:bidi="ar"/>
              </w:rPr>
              <w:t>”</w:t>
            </w:r>
            <w:r>
              <w:rPr>
                <w:rFonts w:hint="default" w:ascii="Times New Roman" w:hAnsi="Times New Roman" w:eastAsia="仿宋_GB2312" w:cs="Times New Roman"/>
                <w:i w:val="0"/>
                <w:iCs w:val="0"/>
                <w:color w:val="auto"/>
                <w:kern w:val="0"/>
                <w:sz w:val="24"/>
                <w:szCs w:val="24"/>
                <w:u w:val="none"/>
                <w:lang w:val="en-US" w:eastAsia="zh-CN" w:bidi="ar"/>
              </w:rPr>
              <w:t>的现象，难以全面客观衡量孵化器真实孵化服务能力。</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w:t>
            </w:r>
            <w:r>
              <w:rPr>
                <w:rFonts w:hint="eastAsia" w:ascii="Times New Roman" w:hAnsi="Times New Roman" w:eastAsia="仿宋_GB2312" w:cs="Times New Roman"/>
                <w:i w:val="0"/>
                <w:iCs w:val="0"/>
                <w:color w:val="auto"/>
                <w:kern w:val="0"/>
                <w:sz w:val="24"/>
                <w:szCs w:val="24"/>
                <w:u w:val="none"/>
                <w:lang w:val="en-US" w:eastAsia="zh-CN" w:bidi="ar"/>
              </w:rPr>
              <w:t>结合政策整体制定基本合理、个别配套实施细则不够完善等情况，此项指标酌情扣0.5分</w:t>
            </w:r>
            <w:r>
              <w:rPr>
                <w:rFonts w:hint="default" w:ascii="Times New Roman" w:hAnsi="Times New Roman" w:eastAsia="仿宋_GB2312" w:cs="Times New Roman"/>
                <w:i w:val="0"/>
                <w:iCs w:val="0"/>
                <w:color w:val="auto"/>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83"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制度执行有效性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政策和项目实施是否符合相关管理规定，用以反映和考核各项管理制度的执行情况。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①是否遵守相关法律法规和业务管理规定；</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②政策和项目调整手续是否完备；</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③政策和项目合同书、验收报告、评审过程记录等资料是否齐全并及时归档；</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④政策和项目实施的人员条件、场地设备、信息支撑等是否落实到位；</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⑤是否按规定执行了政策宣传、组织申报、评审、公示、资金拨付等程序。</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①完全符合各项要点得满分。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②每发现1项不符合要点的，扣1分，直至0分。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查阅已提供的政策组织管理材料，松山湖科技创新局基本能按照管理办法相关规定履行政策宣传、组织申报、评审、资金公示及拨付等程序，实施过程基本规范。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Style w:val="24"/>
                <w:rFonts w:hint="default" w:ascii="Times New Roman" w:hAnsi="Times New Roman" w:eastAsia="仿宋_GB2312" w:cs="Times New Roman"/>
                <w:color w:val="auto"/>
                <w:sz w:val="24"/>
                <w:szCs w:val="24"/>
                <w:lang w:val="en-US" w:eastAsia="zh-CN" w:bidi="ar"/>
              </w:rPr>
              <w:t>主要存在问题：</w:t>
            </w:r>
            <w:r>
              <w:rPr>
                <w:rStyle w:val="24"/>
                <w:rFonts w:hint="default" w:ascii="Times New Roman" w:hAnsi="Times New Roman" w:eastAsia="仿宋_GB2312" w:cs="Times New Roman"/>
                <w:color w:val="auto"/>
                <w:sz w:val="24"/>
                <w:szCs w:val="24"/>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政策宣传力度有待加强。根据满意度调查问卷结果，159名受访者中，有39名受访者（占比25.83%）反馈：政策种类繁多，难以理解，建议加大政策宣传推广力度，详细说明扶持政策，提高科技赋能产业高质量发展相关扶持政策的知晓率。</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综上，根据评分标准，此项指标扣1分。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产出（30分）</w:t>
            </w: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产出数量</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（9分）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奖补任务完成数量情况</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采集各类奖补政策和项目工作计划与实际完成情况数据，用以反映和考核各类奖补政策和项目完成数量情况。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通过书面核查、现场勘验等方式，了解各类奖补政策和项目是否按计划完成工作任务，包括：支持成果转化、培育企业、鼓励技术创新、支持创新创业平台建设、科技金融赋能、鼓励自由科学探索和科学普及等7个方面的工作任务。</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①各类奖补政策和项目均按计划完成工作任务的，得满分。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②存在某类奖补对象不符合管理办法要求的，按照任务实际完成情况计算得分。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eastAsia" w:ascii="Times New Roman" w:hAnsi="Times New Roman" w:eastAsia="仿宋_GB2312" w:cs="Times New Roman"/>
                <w:i w:val="0"/>
                <w:iCs w:val="0"/>
                <w:color w:val="auto"/>
                <w:kern w:val="0"/>
                <w:sz w:val="24"/>
                <w:szCs w:val="24"/>
                <w:u w:val="none"/>
                <w:lang w:val="en-US" w:eastAsia="zh-CN" w:bidi="ar"/>
              </w:rPr>
              <w:t>8.02</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本次评价主要对照《关于审定〈东莞松山湖科技赋能产业高质量发展实施办法〉（送审稿）的请示》列明的各项政策措施对应的评价指标分析政策奖补任务完成情况。经查阅相关佐证材料，支持社会资本赋能成果落地、鼓励科技成果向企业转化、支持高新技术企业认定、支持产业技术攻关、鼓励前沿科学研究和自由科学探索、推动科学普及</w:t>
            </w:r>
            <w:r>
              <w:rPr>
                <w:rFonts w:hint="eastAsia" w:ascii="Times New Roman" w:hAnsi="Times New Roman" w:eastAsia="仿宋_GB2312" w:cs="Times New Roman"/>
                <w:i w:val="0"/>
                <w:iCs w:val="0"/>
                <w:color w:val="auto"/>
                <w:kern w:val="0"/>
                <w:sz w:val="24"/>
                <w:szCs w:val="24"/>
                <w:u w:val="none"/>
                <w:lang w:val="en-US" w:eastAsia="zh-CN" w:bidi="ar"/>
              </w:rPr>
              <w:t>、</w:t>
            </w:r>
            <w:r>
              <w:rPr>
                <w:rFonts w:hint="eastAsia" w:ascii="Times New Roman" w:hAnsi="Times New Roman" w:eastAsia="仿宋_GB2312" w:cs="Times New Roman"/>
                <w:color w:val="auto"/>
                <w:kern w:val="0"/>
                <w:sz w:val="24"/>
                <w:u w:val="none"/>
                <w:lang w:bidi="ar"/>
              </w:rPr>
              <w:t>支持研发机构建设、支持概念验证及中试平台建设</w:t>
            </w:r>
            <w:r>
              <w:rPr>
                <w:rFonts w:hint="default" w:ascii="Times New Roman" w:hAnsi="Times New Roman" w:eastAsia="仿宋_GB2312" w:cs="Times New Roman"/>
                <w:i w:val="0"/>
                <w:iCs w:val="0"/>
                <w:color w:val="auto"/>
                <w:kern w:val="0"/>
                <w:sz w:val="24"/>
                <w:szCs w:val="24"/>
                <w:u w:val="none"/>
                <w:lang w:val="en-US" w:eastAsia="zh-CN" w:bidi="ar"/>
              </w:rPr>
              <w:t>等政策措施对应的工作任务评价指标基本按计划实现预期目标。</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Style w:val="24"/>
                <w:rFonts w:hint="default" w:ascii="Times New Roman" w:hAnsi="Times New Roman" w:eastAsia="仿宋_GB2312" w:cs="Times New Roman"/>
                <w:color w:val="auto"/>
                <w:sz w:val="24"/>
                <w:szCs w:val="24"/>
                <w:lang w:val="en-US" w:eastAsia="zh-CN" w:bidi="ar"/>
              </w:rPr>
              <w:t>主要存在问题：</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1.鼓励企业科技成果应用政策措施方面，未设置相关评价指标，现有材料</w:t>
            </w:r>
            <w:r>
              <w:rPr>
                <w:rFonts w:hint="eastAsia" w:ascii="Times New Roman" w:hAnsi="Times New Roman" w:eastAsia="仿宋_GB2312" w:cs="Times New Roman"/>
                <w:i w:val="0"/>
                <w:iCs w:val="0"/>
                <w:color w:val="auto"/>
                <w:kern w:val="0"/>
                <w:sz w:val="24"/>
                <w:szCs w:val="24"/>
                <w:u w:val="none"/>
                <w:lang w:val="en-US" w:eastAsia="zh-CN" w:bidi="ar"/>
              </w:rPr>
              <w:t>也无对应指标</w:t>
            </w:r>
            <w:r>
              <w:rPr>
                <w:rFonts w:hint="default" w:ascii="Times New Roman" w:hAnsi="Times New Roman" w:eastAsia="仿宋_GB2312" w:cs="Times New Roman"/>
                <w:i w:val="0"/>
                <w:iCs w:val="0"/>
                <w:color w:val="auto"/>
                <w:kern w:val="0"/>
                <w:sz w:val="24"/>
                <w:szCs w:val="24"/>
                <w:u w:val="none"/>
                <w:lang w:val="en-US" w:eastAsia="zh-CN" w:bidi="ar"/>
              </w:rPr>
              <w:t>完成情况，暂按照指标分值扣0.</w:t>
            </w:r>
            <w:r>
              <w:rPr>
                <w:rFonts w:hint="eastAsia" w:ascii="Times New Roman" w:hAnsi="Times New Roman" w:eastAsia="仿宋_GB2312" w:cs="Times New Roman"/>
                <w:i w:val="0"/>
                <w:iCs w:val="0"/>
                <w:color w:val="auto"/>
                <w:kern w:val="0"/>
                <w:sz w:val="24"/>
                <w:szCs w:val="24"/>
                <w:u w:val="none"/>
                <w:lang w:val="en-US" w:eastAsia="zh-CN" w:bidi="ar"/>
              </w:rPr>
              <w:t>82</w:t>
            </w:r>
            <w:r>
              <w:rPr>
                <w:rFonts w:hint="default" w:ascii="Times New Roman" w:hAnsi="Times New Roman" w:eastAsia="仿宋_GB2312" w:cs="Times New Roman"/>
                <w:i w:val="0"/>
                <w:iCs w:val="0"/>
                <w:color w:val="auto"/>
                <w:kern w:val="0"/>
                <w:sz w:val="24"/>
                <w:szCs w:val="24"/>
                <w:u w:val="none"/>
                <w:lang w:val="en-US" w:eastAsia="zh-CN" w:bidi="ar"/>
              </w:rPr>
              <w:t>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鼓励科技企业优秀孵化器评先争优政策措施方面，已提供孵化器新增规上高企数量、新增孵化营收亿元企业的实际完成数据，但现有材料未规划上述两项指标的年度目标值，难以对标考核指标完成情况，暂按指标分值的80%计算得分，扣0.1</w:t>
            </w:r>
            <w:r>
              <w:rPr>
                <w:rFonts w:hint="eastAsia" w:ascii="Times New Roman" w:hAnsi="Times New Roman" w:eastAsia="仿宋_GB2312" w:cs="Times New Roman"/>
                <w:i w:val="0"/>
                <w:iCs w:val="0"/>
                <w:color w:val="auto"/>
                <w:kern w:val="0"/>
                <w:sz w:val="24"/>
                <w:szCs w:val="24"/>
                <w:u w:val="none"/>
                <w:lang w:val="en-US" w:eastAsia="zh-CN" w:bidi="ar"/>
              </w:rPr>
              <w:t>6</w:t>
            </w:r>
            <w:r>
              <w:rPr>
                <w:rFonts w:hint="default" w:ascii="Times New Roman" w:hAnsi="Times New Roman" w:eastAsia="仿宋_GB2312" w:cs="Times New Roman"/>
                <w:i w:val="0"/>
                <w:iCs w:val="0"/>
                <w:color w:val="auto"/>
                <w:kern w:val="0"/>
                <w:sz w:val="24"/>
                <w:szCs w:val="24"/>
                <w:u w:val="none"/>
                <w:lang w:val="en-US" w:eastAsia="zh-CN" w:bidi="ar"/>
              </w:rPr>
              <w:t>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综上，此项指标扣</w:t>
            </w:r>
            <w:r>
              <w:rPr>
                <w:rFonts w:hint="eastAsia" w:ascii="Times New Roman" w:hAnsi="Times New Roman" w:eastAsia="仿宋_GB2312" w:cs="Times New Roman"/>
                <w:i w:val="0"/>
                <w:iCs w:val="0"/>
                <w:color w:val="auto"/>
                <w:kern w:val="0"/>
                <w:sz w:val="24"/>
                <w:szCs w:val="24"/>
                <w:u w:val="none"/>
                <w:lang w:val="en-US" w:eastAsia="zh-CN" w:bidi="ar"/>
              </w:rPr>
              <w:t>0.98</w:t>
            </w:r>
            <w:r>
              <w:rPr>
                <w:rFonts w:hint="default" w:ascii="Times New Roman" w:hAnsi="Times New Roman" w:eastAsia="仿宋_GB2312" w:cs="Times New Roman"/>
                <w:i w:val="0"/>
                <w:iCs w:val="0"/>
                <w:color w:val="auto"/>
                <w:kern w:val="0"/>
                <w:sz w:val="24"/>
                <w:szCs w:val="24"/>
                <w:u w:val="none"/>
                <w:lang w:val="en-US" w:eastAsia="zh-CN" w:bidi="ar"/>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产出质量</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（9分）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奖补任务完成质量情况</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采集各类奖补政策和项目资金审核及发放数据，用以反映和考核各类补助政策和项目资金发放的准确性。</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通过书面核查、现场勘验等方式，了解各类奖补政策和项目的奖补对象、奖补标准等是否符合管理办法等文件要求。</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①各类奖补政策和项目完成情况均符合管理办法等文件相关要求，佐证材料齐全的，得满分。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②存在某类奖补对象不符合管理办法要求的，按照每发现一处补助资金审核错误情况扣1分计算，直至0分。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9.00</w:t>
            </w:r>
          </w:p>
        </w:tc>
        <w:tc>
          <w:tcPr>
            <w:tcW w:w="1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经查阅相关佐证材料，各类政策和项目奖补对象、奖补标准基本符合管理办法要求。根据评分标准，此项指标不扣分。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产出时效</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（8分）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奖补资金发放及时性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采集各类奖补政策和项目计划发放时间与实际发放时间数据，用以反映和考核各类补助政策和项目资金发放的时效性。</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通过书面核查、现场勘验等方式，了解各类奖补政策和项目资金发放时间是否符合管理办法及申报指南要求等文件要求。</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①各类奖补政策和项目均按管理办法及申报指南相关要求及时发放资金的，得满分。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②存在某类奖补对象发放时间不符合管理办法及申报指南要求情况的，按照每发现一处补助资金发放时间滞后扣1分计算，直至0分。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8.00</w:t>
            </w:r>
          </w:p>
        </w:tc>
        <w:tc>
          <w:tcPr>
            <w:tcW w:w="1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经查阅相关佐证材料，暂未发现各类奖补政策和项目资金发放时间滞后的情况。根据评分标准，此项指标不扣分。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产出成本</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（4分）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成本支出和控制情况</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通过横纵向对比分析奖补标准是否科学合理，政策和项目单位制定的成本控制措施是否有效等，用以反映和考核政策和项目实施成本控制的有效性。</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与本省先进地市、区同类政策和项目奖补标准额度相比较，政策和项目实施的成本属于合理范围等。</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在政策和项目按照预算完成的前提下，与同类政策和项目奖补标准相比较，政策和项目实施的成本属于合理范围（如与同类政策和项目或市场价格大致相符的）或实现成本节约，且能提供相关佐证材料的，得4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②政策和项目实施成本不合理的（如明显高于或低于同类政策和项目补助标准、投入产出不匹配的），按实际情况酌情扣分。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个别政策财政投入与产出匹配度不足，扶持政策精准性、导向性不足，财政资金撬动企业创新发展的效能未能充分释放。如：松山湖现有高新技术企业750家，现行政策对企业首次认定、重新认定分别给予6万元、3万元奖励，政策执行标准较单一，提质培优、择优激励的导向不足，财政资金投入产出整体效益有待提升。综上，根据评分标准，此项指标酌情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效益（30分）</w:t>
            </w:r>
          </w:p>
        </w:tc>
        <w:tc>
          <w:tcPr>
            <w:tcW w:w="3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经济效益</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（10分）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高新区企业内部研发费用总额实现情况</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采集高新区当年企业内部研发费用总额，用以反映和考核政策实施对企业自主研发和技术创新能力的促进作用。</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①高新区当年企业内部研发费用总额是否实现年度目标（≥200亿元）。</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②政策实施后高新区当年企业内部研发费用总额是否有所增长。</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①高新区当年企业内部研发费用总额完成当年度绩效目标，且政策实施后相关数据呈增长趋势，实施效果较好，佐证材料充分的，得满分。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②高新区当年企业内部研发费用总额未完成当年度任务目标，或政策实施后该项数据呈下降趋势，实施效果一般的，根据实际情况酌情得分。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1.高新区企业内部研发费用总额年度目标值为≥200亿元，实际完成值为256亿元，指标完成率为128%。</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2.2023、2024、2025年高新区企业内部研发费用总额逐年增长，年均增长率为15.77%。</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综上，根据评分标准，此项指标不扣分。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科技成果转化效益实现情况</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采集新增技术开发、技术转让和技术许可合同登记数、技术交易额等数据，用以反映和考核政策实施对科技成果转化的促进作用。</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①新增技术开发、技术转让和技术许可合同登记数（目标值：≥30项）、技术交易额（目标值：≥5000万元）是否实现年度目标。</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②政策实施后新增技术开发、技术转让和技术许可合同相关登记数、技术交易额是否有所增长。</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①新增技术开发、技术转让和技术许可合同登记数、技术交易额完成当年度绩效目标，且政策实施后相关数据呈增长趋势，实施效果较好，佐证材料充分的，得满分。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②新增技术开发、技术转让和技术许可合同登记数、技术交易额未完成当年度任务目标，或政策实施后该项数据呈下降趋势，实施效果一般的，根据实际情况酌情得分。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3.75</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年度完成技术开发、技术转让和技术许可合同登记数方面，2023、2024、2025年该项指标完成数据为195项、487项、324项，数据呈现先上升后下降的趋势，主要原因：个别年度受扶持企业（如：群欣研究院、群欣技术等）技术合同登记项数量较以往年度减少。</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2.年度完成技术开发、技术转让和技术开发合同技术交易额方面，2023、2024、2025年该项指标完成数据为628693.46万元、751709.26万元、811665.83万元，逐年上升，年均增长率为13.62%。</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新增技术开发、技术转让和技术开发合同技术交易额实现预期目标，新增技术开发、技术转让和技术许可合同登记数未达预期目标，考虑技术登记数量虽有下降但技术交易额逐年增长的情况，此项指标酌情扣1.25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社会效益</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（12分）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高新技术企业培育效能</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采集新增认定高新技术企业数量等数据，用以反映和考核政策实施对培育企业的促进作用。</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①新增认定高新技术企业数量是否实现年度目标（≥150家）。</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②政策实施后新增认定高新技术企业数量是否有所增长。</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①新增认定高新技术企业数量完成当年度绩效目标，且政策实施后相关数据呈增长趋势，实施效果较好，佐证材料充分的，得满分。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②新增认定高新技术企业数量未完成当年度任务目标，或政策实施后该项数据呈下降趋势，实施效果一般的，根据实际情况酌情得分。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eastAsia" w:ascii="Times New Roman" w:hAnsi="Times New Roman" w:eastAsia="仿宋_GB2312" w:cs="Times New Roman"/>
                <w:i w:val="0"/>
                <w:iCs w:val="0"/>
                <w:color w:val="auto"/>
                <w:kern w:val="0"/>
                <w:sz w:val="24"/>
                <w:szCs w:val="24"/>
                <w:u w:val="none"/>
                <w:lang w:val="en-US" w:eastAsia="zh-CN" w:bidi="ar"/>
              </w:rPr>
              <w:t>3</w:t>
            </w:r>
            <w:r>
              <w:rPr>
                <w:rFonts w:hint="default" w:ascii="Times New Roman" w:hAnsi="Times New Roman" w:eastAsia="仿宋_GB2312" w:cs="Times New Roman"/>
                <w:i w:val="0"/>
                <w:iCs w:val="0"/>
                <w:color w:val="auto"/>
                <w:kern w:val="0"/>
                <w:sz w:val="24"/>
                <w:szCs w:val="24"/>
                <w:u w:val="none"/>
                <w:lang w:val="en-US" w:eastAsia="zh-CN" w:bidi="ar"/>
              </w:rPr>
              <w:t>.00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1.新增认定高新技术企业数量年度目标值为≥50家，实际完成值为77家，指标完成率为154%。</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2.2023、2024、2025年新增认定高新技术企业数量分别为：129家、92家、77家，逐年下降，年均下降率22.74%。</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追溯原因，主要有以下三点：一</w:t>
            </w:r>
            <w:r>
              <w:rPr>
                <w:rFonts w:hint="default" w:ascii="Times New Roman" w:hAnsi="Times New Roman" w:eastAsia="仿宋_GB2312" w:cs="Times New Roman"/>
                <w:b/>
                <w:bCs/>
                <w:i w:val="0"/>
                <w:iCs w:val="0"/>
                <w:color w:val="auto"/>
                <w:kern w:val="0"/>
                <w:sz w:val="24"/>
                <w:szCs w:val="24"/>
                <w:u w:val="none"/>
                <w:lang w:val="en-US" w:eastAsia="zh-CN" w:bidi="ar"/>
              </w:rPr>
              <w:t>是</w:t>
            </w:r>
            <w:r>
              <w:rPr>
                <w:rFonts w:hint="default" w:ascii="Times New Roman" w:hAnsi="Times New Roman" w:eastAsia="仿宋_GB2312" w:cs="Times New Roman"/>
                <w:i w:val="0"/>
                <w:iCs w:val="0"/>
                <w:color w:val="auto"/>
                <w:kern w:val="0"/>
                <w:sz w:val="24"/>
                <w:szCs w:val="24"/>
                <w:u w:val="none"/>
                <w:lang w:val="en-US" w:eastAsia="zh-CN" w:bidi="ar"/>
              </w:rPr>
              <w:t>市、园区两级高新技术企业财政奖励政策自2023年起持续收紧，补贴支持力度明显下降，企业申报投入成本与政策激励收益不相匹配，降低松山湖科技企业申报积极性。</w:t>
            </w:r>
            <w:r>
              <w:rPr>
                <w:rFonts w:hint="default" w:ascii="Times New Roman" w:hAnsi="Times New Roman" w:eastAsia="仿宋_GB2312" w:cs="Times New Roman"/>
                <w:b/>
                <w:bCs/>
                <w:i w:val="0"/>
                <w:iCs w:val="0"/>
                <w:color w:val="auto"/>
                <w:kern w:val="0"/>
                <w:sz w:val="24"/>
                <w:szCs w:val="24"/>
                <w:u w:val="none"/>
                <w:lang w:val="en-US" w:eastAsia="zh-CN" w:bidi="ar"/>
              </w:rPr>
              <w:t>二是</w:t>
            </w:r>
            <w:r>
              <w:rPr>
                <w:rFonts w:hint="default" w:ascii="Times New Roman" w:hAnsi="Times New Roman" w:eastAsia="仿宋_GB2312" w:cs="Times New Roman"/>
                <w:i w:val="0"/>
                <w:iCs w:val="0"/>
                <w:color w:val="auto"/>
                <w:kern w:val="0"/>
                <w:sz w:val="24"/>
                <w:szCs w:val="24"/>
                <w:u w:val="none"/>
                <w:lang w:val="en-US" w:eastAsia="zh-CN" w:bidi="ar"/>
              </w:rPr>
              <w:t>受宏观经济承压、市场需求收缩、科创投融资降温影响，园区中小科技企业经营及研发投入受限，优质高企储备种子企业增量不足。</w:t>
            </w:r>
            <w:r>
              <w:rPr>
                <w:rFonts w:hint="default" w:ascii="Times New Roman" w:hAnsi="Times New Roman" w:eastAsia="仿宋_GB2312" w:cs="Times New Roman"/>
                <w:b/>
                <w:bCs/>
                <w:i w:val="0"/>
                <w:iCs w:val="0"/>
                <w:color w:val="auto"/>
                <w:kern w:val="0"/>
                <w:sz w:val="24"/>
                <w:szCs w:val="24"/>
                <w:u w:val="none"/>
                <w:lang w:val="en-US" w:eastAsia="zh-CN" w:bidi="ar"/>
              </w:rPr>
              <w:t>三是</w:t>
            </w:r>
            <w:r>
              <w:rPr>
                <w:rFonts w:hint="default" w:ascii="Times New Roman" w:hAnsi="Times New Roman" w:eastAsia="仿宋_GB2312" w:cs="Times New Roman"/>
                <w:i w:val="0"/>
                <w:iCs w:val="0"/>
                <w:color w:val="auto"/>
                <w:kern w:val="0"/>
                <w:sz w:val="24"/>
                <w:szCs w:val="24"/>
                <w:u w:val="none"/>
                <w:lang w:val="en-US" w:eastAsia="zh-CN" w:bidi="ar"/>
              </w:rPr>
              <w:t>省市高企认定工作由重数量向重质量转变，多部门联合前置核查、数据核验及合规监管全面从严，企业申报准入门槛显著提高。</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综上，考虑客观因素影响，此项指标酌情扣</w:t>
            </w:r>
            <w:r>
              <w:rPr>
                <w:rFonts w:hint="eastAsia" w:ascii="Times New Roman" w:hAnsi="Times New Roman" w:eastAsia="仿宋_GB2312" w:cs="Times New Roman"/>
                <w:i w:val="0"/>
                <w:iCs w:val="0"/>
                <w:color w:val="auto"/>
                <w:kern w:val="0"/>
                <w:sz w:val="24"/>
                <w:szCs w:val="24"/>
                <w:u w:val="none"/>
                <w:lang w:val="en-US" w:eastAsia="zh-CN" w:bidi="ar"/>
              </w:rPr>
              <w:t>1</w:t>
            </w:r>
            <w:r>
              <w:rPr>
                <w:rFonts w:hint="default" w:ascii="Times New Roman" w:hAnsi="Times New Roman" w:eastAsia="仿宋_GB2312" w:cs="Times New Roman"/>
                <w:i w:val="0"/>
                <w:iCs w:val="0"/>
                <w:color w:val="auto"/>
                <w:kern w:val="0"/>
                <w:sz w:val="24"/>
                <w:szCs w:val="24"/>
                <w:u w:val="none"/>
                <w:lang w:val="en-US" w:eastAsia="zh-CN" w:bidi="ar"/>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68"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科技企业孵化器服务效能</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采集孵化器培育高新技术企业数量等数据，用以反映和考核政策实施对推动科技企业孵化器服务效能的促进作用。</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①孵化器培育高新技术企业数量是否实现年度目标（≥20家）。</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②政策实施后孵化器培育高新技术企业数量及企业营收是否有所增长。</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①孵化器培育高新技术企业数量完成当年度绩效目标，且政策实施后相关数据呈增长趋势，实施效果较好，佐证材料充分的，得满分。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②孵化器培育高新技术企业数量未完成当年度任务目标，或政策实施后该项数据呈下降趋势，实施效果一般的，根据实际情况酌情得分。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eastAsia" w:ascii="Times New Roman" w:hAnsi="Times New Roman" w:eastAsia="仿宋_GB2312" w:cs="Times New Roman"/>
                <w:i w:val="0"/>
                <w:iCs w:val="0"/>
                <w:color w:val="auto"/>
                <w:kern w:val="0"/>
                <w:sz w:val="24"/>
                <w:szCs w:val="24"/>
                <w:u w:val="none"/>
                <w:lang w:val="en-US" w:eastAsia="zh-CN" w:bidi="ar"/>
              </w:rPr>
              <w:t>3</w:t>
            </w:r>
            <w:r>
              <w:rPr>
                <w:rFonts w:hint="default" w:ascii="Times New Roman" w:hAnsi="Times New Roman" w:eastAsia="仿宋_GB2312" w:cs="Times New Roman"/>
                <w:i w:val="0"/>
                <w:iCs w:val="0"/>
                <w:color w:val="auto"/>
                <w:kern w:val="0"/>
                <w:sz w:val="24"/>
                <w:szCs w:val="24"/>
                <w:u w:val="none"/>
                <w:lang w:val="en-US" w:eastAsia="zh-CN" w:bidi="ar"/>
              </w:rPr>
              <w:t>.00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1.孵化器培育高新技术企业数量年度目标值为≥20家，实际完成值为36家，指标完成率为180%。</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2.2025年孵化器培育高新技术企业数量（36家）较2024年（45家）同比下降20%，主要原因在于：一是政策扶持力度有所下降，企业申报高新技术企业意愿不足。二是孵化器考核体系持续优化，考核维度趋于多元，高企培育指标权重显著下降，孵化器开展高企培育工作的主动性有所弱化。</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综上，考虑客观因素影响，此项指标酌情扣</w:t>
            </w:r>
            <w:r>
              <w:rPr>
                <w:rFonts w:hint="eastAsia" w:ascii="Times New Roman" w:hAnsi="Times New Roman" w:eastAsia="仿宋_GB2312" w:cs="Times New Roman"/>
                <w:i w:val="0"/>
                <w:iCs w:val="0"/>
                <w:color w:val="auto"/>
                <w:kern w:val="0"/>
                <w:sz w:val="24"/>
                <w:szCs w:val="24"/>
                <w:u w:val="none"/>
                <w:lang w:val="en-US" w:eastAsia="zh-CN" w:bidi="ar"/>
              </w:rPr>
              <w:t>1</w:t>
            </w:r>
            <w:r>
              <w:rPr>
                <w:rFonts w:hint="default" w:ascii="Times New Roman" w:hAnsi="Times New Roman" w:eastAsia="仿宋_GB2312" w:cs="Times New Roman"/>
                <w:i w:val="0"/>
                <w:iCs w:val="0"/>
                <w:color w:val="auto"/>
                <w:kern w:val="0"/>
                <w:sz w:val="24"/>
                <w:szCs w:val="24"/>
                <w:u w:val="none"/>
                <w:lang w:val="en-US" w:eastAsia="zh-CN" w:bidi="ar"/>
              </w:rPr>
              <w:t>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科学研究及科普服务效益</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采集科学普及活动覆盖人数、带动形成前沿科学研究和自由探索政策和项目数量等数据，用以反映和考核政策实施对提升科学研究及科普服务效益的促进作用。</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①科学普及活动覆盖人数（目标值：≥1万人次）、带动形成前沿科学研究和自由探索政策和项目数量（目标值：≥120项）是否实现年度目标。</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②政策实施后科学普及活动覆盖人数、带动形成前沿科学研究和自由探索政策和项目数量是否有所增长。</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①科学普及活动覆盖人数、带动形成前沿科学研究和自由探索政策和项目数量完成当年度绩效目标，且政策实施后相关数据呈增长趋势，实施效果较好，佐证材料充分的，得满分。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②科学普及活动覆盖人数、带动形成前沿科学研究和自由探索政策和项目数量未完成当年度任务目标，或政策实施后该项数据呈下降趋势，实施效果一般的，根据实际情况酌情得分。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科学普及活动覆盖人数系本次新政策新增设指标，无历史数据，本次评价主要采集年度目标与完成情况进行比对，具体情况如下：2025年计划完成科学普及活动覆盖人数1万人以上，实际完成值为1.2973万人，指标完成率为129.73%。</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2.带动形成前沿科学研究和自由探索政策和项目数量年度目标值为≥120项，实际完成值为162项，指标完成率为135%，且2023、2024、2025年指标完成数据逐年增长，年均增长率为5.34%。</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综上，根据评分标准，此项指标不扣分。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可持续影响</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（3分）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政策和项目实施可持续性</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采集政策和项目可持续性相关信息，用以反映和考核政策后续运行及成效发挥的可持续影响情况。</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①人员机构安排是否具备可持续性；</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②政策、制度是否具备可持续性；</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③管理机制（如资金投入等）是否具备可持续性。</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结合书面材料和现场评价情况，综合评判指标得分。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①人员机构安排可持续得1分，否则酌情扣分，直至0分。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②政策、制度可持续得2分，否则酌情扣分，直至0分。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③管理机制（如资金投入等）可持续得2分，否则酌情扣分，直至0分。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④如有佐证材料不够充分等其他情况，酌情得分。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经现场座谈了解，目前政策实施相关人员机构安排、管理机制基本具备可持续性，但存在部分政策条款扶持精准性不足，影响政策实施可持续性等问题。如：对比广州市南沙区科技成果转化奖励政策，目前松山湖出台的鼓励科技成果向企业转化扶持政策，尚缺少技术合同金额门槛要求，影响政策实施可持续性。又如：企业研发投入补助已有普惠性研发加计扣除的税收政策优惠，</w:t>
            </w:r>
            <w:r>
              <w:rPr>
                <w:rFonts w:hint="eastAsia" w:ascii="Times New Roman" w:hAnsi="Times New Roman" w:eastAsia="仿宋_GB2312" w:cs="Times New Roman"/>
                <w:i w:val="0"/>
                <w:iCs w:val="0"/>
                <w:color w:val="auto"/>
                <w:kern w:val="0"/>
                <w:sz w:val="24"/>
                <w:szCs w:val="24"/>
                <w:u w:val="none"/>
                <w:lang w:val="en-US" w:eastAsia="zh-CN" w:bidi="ar"/>
              </w:rPr>
              <w:t>东莞市科学技术局</w:t>
            </w:r>
            <w:r>
              <w:rPr>
                <w:rFonts w:hint="default" w:ascii="Times New Roman" w:hAnsi="Times New Roman" w:eastAsia="仿宋_GB2312" w:cs="Times New Roman"/>
                <w:i w:val="0"/>
                <w:iCs w:val="0"/>
                <w:color w:val="auto"/>
                <w:kern w:val="0"/>
                <w:sz w:val="24"/>
                <w:szCs w:val="24"/>
                <w:u w:val="none"/>
                <w:lang w:val="en-US" w:eastAsia="zh-CN" w:bidi="ar"/>
              </w:rPr>
              <w:t>有出台同类补贴政策，目前松山湖将近50%财政资金投向用于企业研发投入补助的必要性需斟酌。</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根据评分标准，此项指标扣1分。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27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30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社会公众或服务对象满意度（5分）</w:t>
            </w:r>
          </w:p>
        </w:tc>
        <w:tc>
          <w:tcPr>
            <w:tcW w:w="30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政策受益对象满意度</w:t>
            </w:r>
          </w:p>
        </w:tc>
        <w:tc>
          <w:tcPr>
            <w:tcW w:w="25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89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政策受益对象（含科研人员、科研机构、合作单位、企业等）对政策和项目实施效果的满意程度。</w:t>
            </w:r>
          </w:p>
        </w:tc>
        <w:tc>
          <w:tcPr>
            <w:tcW w:w="140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评价要点：</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政策受益对象满意度=表示满意（含非常满意和较满意）的被调查对象数量/参与调查的对象总数×100%。</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评分标准：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此项指标按照满意度调查结果综合计算得分：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①满意度达100%，得5分。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②满意度≥90%，得4分。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③满意度≥80%，得3分。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④满意度≥70%，得2分。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⑤满意度≥60%，得1分。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⑥满意度＜60%，得0分。</w:t>
            </w:r>
            <w:r>
              <w:rPr>
                <w:rFonts w:hint="default" w:ascii="Times New Roman" w:hAnsi="Times New Roman" w:eastAsia="仿宋_GB2312" w:cs="Times New Roman"/>
                <w:i w:val="0"/>
                <w:iCs w:val="0"/>
                <w:color w:val="auto"/>
                <w:kern w:val="0"/>
                <w:sz w:val="24"/>
                <w:szCs w:val="24"/>
                <w:u w:val="none"/>
                <w:lang w:val="en-US" w:eastAsia="zh-CN" w:bidi="ar"/>
              </w:rPr>
              <w:br w:type="textWrapping"/>
            </w:r>
            <w:r>
              <w:rPr>
                <w:rFonts w:hint="default" w:ascii="Times New Roman" w:hAnsi="Times New Roman" w:eastAsia="仿宋_GB2312" w:cs="Times New Roman"/>
                <w:i w:val="0"/>
                <w:iCs w:val="0"/>
                <w:color w:val="auto"/>
                <w:kern w:val="0"/>
                <w:sz w:val="24"/>
                <w:szCs w:val="24"/>
                <w:u w:val="none"/>
                <w:lang w:val="en-US" w:eastAsia="zh-CN" w:bidi="ar"/>
              </w:rPr>
              <w:t>⑦存在佐证材料提交不充分等其他情况的，按照实际情况酌情得分。</w:t>
            </w: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4.00</w:t>
            </w:r>
          </w:p>
        </w:tc>
        <w:tc>
          <w:tcPr>
            <w:tcW w:w="1255"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根据评价</w:t>
            </w:r>
            <w:r>
              <w:rPr>
                <w:rFonts w:hint="eastAsia" w:ascii="Times New Roman" w:hAnsi="Times New Roman" w:eastAsia="仿宋_GB2312" w:cs="Times New Roman"/>
                <w:i w:val="0"/>
                <w:iCs w:val="0"/>
                <w:color w:val="auto"/>
                <w:kern w:val="0"/>
                <w:sz w:val="24"/>
                <w:szCs w:val="24"/>
                <w:u w:val="none"/>
                <w:lang w:val="en-US" w:eastAsia="zh-CN" w:bidi="ar"/>
              </w:rPr>
              <w:t>小</w:t>
            </w:r>
            <w:r>
              <w:rPr>
                <w:rFonts w:hint="default" w:ascii="Times New Roman" w:hAnsi="Times New Roman" w:eastAsia="仿宋_GB2312" w:cs="Times New Roman"/>
                <w:i w:val="0"/>
                <w:iCs w:val="0"/>
                <w:color w:val="auto"/>
                <w:kern w:val="0"/>
                <w:sz w:val="24"/>
                <w:szCs w:val="24"/>
                <w:u w:val="none"/>
                <w:lang w:val="en-US" w:eastAsia="zh-CN" w:bidi="ar"/>
              </w:rPr>
              <w:t>组开展的满意度调查结果，政策受益对象对政策实施效果的总体满意度为96.69%，根据评分标准，此项指标扣1分。另外，部分受访者提出：加大政策宣传力度；简化申报程序；进一步细化评审细则；希望能够分批次申请、审核，免得错过政策申报窗口期等意见建议反馈，为后续政策实施提供改进方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883"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合计</w:t>
            </w:r>
          </w:p>
        </w:tc>
        <w:tc>
          <w:tcPr>
            <w:tcW w:w="2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100</w:t>
            </w:r>
          </w:p>
        </w:tc>
        <w:tc>
          <w:tcPr>
            <w:tcW w:w="8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i w:val="0"/>
                <w:iCs w:val="0"/>
                <w:color w:val="auto"/>
                <w:sz w:val="24"/>
                <w:szCs w:val="24"/>
                <w:u w:val="none"/>
              </w:rPr>
            </w:pPr>
          </w:p>
        </w:tc>
        <w:tc>
          <w:tcPr>
            <w:tcW w:w="140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Times New Roman" w:hAnsi="Times New Roman" w:eastAsia="仿宋_GB2312" w:cs="Times New Roman"/>
                <w:i w:val="0"/>
                <w:iCs w:val="0"/>
                <w:color w:val="auto"/>
                <w:sz w:val="24"/>
                <w:szCs w:val="24"/>
                <w:u w:val="none"/>
              </w:rPr>
            </w:pPr>
          </w:p>
        </w:tc>
        <w:tc>
          <w:tcPr>
            <w:tcW w:w="30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eastAsia" w:ascii="Times New Roman" w:hAnsi="Times New Roman" w:eastAsia="仿宋_GB2312" w:cs="Times New Roman"/>
                <w:i w:val="0"/>
                <w:iCs w:val="0"/>
                <w:color w:val="auto"/>
                <w:kern w:val="0"/>
                <w:sz w:val="24"/>
                <w:szCs w:val="24"/>
                <w:u w:val="none"/>
                <w:lang w:val="en-US" w:eastAsia="zh-CN" w:bidi="ar"/>
              </w:rPr>
              <w:t>85.77</w:t>
            </w:r>
          </w:p>
        </w:tc>
        <w:tc>
          <w:tcPr>
            <w:tcW w:w="125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default" w:ascii="Times New Roman" w:hAnsi="Times New Roman" w:eastAsia="仿宋_GB2312" w:cs="Times New Roman"/>
                <w:i w:val="0"/>
                <w:iCs w:val="0"/>
                <w:color w:val="auto"/>
                <w:sz w:val="24"/>
                <w:szCs w:val="24"/>
                <w:u w:val="none"/>
              </w:rPr>
            </w:pPr>
          </w:p>
        </w:tc>
      </w:tr>
    </w:tbl>
    <w:p>
      <w:pPr>
        <w:pStyle w:val="17"/>
        <w:bidi w:val="0"/>
        <w:ind w:left="0" w:leftChars="0" w:firstLine="0" w:firstLineChars="0"/>
        <w:rPr>
          <w:rFonts w:hint="eastAsia"/>
          <w:color w:val="auto"/>
          <w:lang w:val="en-US" w:eastAsia="zh-CN"/>
        </w:rPr>
      </w:pPr>
    </w:p>
    <w:p>
      <w:pPr>
        <w:pStyle w:val="15"/>
        <w:bidi w:val="0"/>
        <w:ind w:left="0" w:leftChars="0" w:firstLine="0" w:firstLineChars="0"/>
        <w:rPr>
          <w:rFonts w:hint="eastAsia"/>
          <w:color w:val="auto"/>
          <w:lang w:val="en-US" w:eastAsia="zh-CN"/>
        </w:rPr>
        <w:sectPr>
          <w:pgSz w:w="16838" w:h="11906" w:orient="landscape"/>
          <w:pgMar w:top="1531" w:right="2041" w:bottom="1417" w:left="1417" w:header="851" w:footer="992" w:gutter="0"/>
          <w:pgNumType w:fmt="numberInDash"/>
          <w:cols w:space="425" w:num="1"/>
          <w:docGrid w:type="lines" w:linePitch="312" w:charSpace="0"/>
        </w:sectPr>
      </w:pPr>
    </w:p>
    <w:p>
      <w:pPr>
        <w:pStyle w:val="15"/>
        <w:bidi w:val="0"/>
        <w:ind w:left="0" w:leftChars="0" w:firstLine="0" w:firstLineChars="0"/>
        <w:rPr>
          <w:rFonts w:hint="eastAsia"/>
          <w:color w:val="auto"/>
          <w:lang w:val="en-US" w:eastAsia="zh-CN"/>
        </w:rPr>
      </w:pPr>
      <w:bookmarkStart w:id="22" w:name="_Toc31001"/>
      <w:r>
        <w:rPr>
          <w:rFonts w:hint="eastAsia"/>
          <w:color w:val="auto"/>
          <w:lang w:val="en-US" w:eastAsia="zh-CN"/>
        </w:rPr>
        <w:t>附件2.绩效评价满意度调查结果统计表</w:t>
      </w:r>
      <w:bookmarkEnd w:id="22"/>
    </w:p>
    <w:tbl>
      <w:tblPr>
        <w:tblStyle w:val="10"/>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2"/>
        <w:gridCol w:w="2632"/>
        <w:gridCol w:w="3094"/>
        <w:gridCol w:w="1230"/>
        <w:gridCol w:w="14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tblHeader/>
        </w:trPr>
        <w:tc>
          <w:tcPr>
            <w:tcW w:w="394"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Style w:val="20"/>
                <w:rFonts w:hint="default" w:ascii="Times New Roman" w:hAnsi="Times New Roman" w:eastAsia="仿宋_GB2312" w:cs="Times New Roman"/>
                <w:b/>
                <w:bCs/>
                <w:color w:val="auto"/>
                <w:sz w:val="24"/>
                <w:szCs w:val="24"/>
                <w:lang w:val="en-US" w:eastAsia="zh-CN" w:bidi="ar"/>
              </w:rPr>
              <w:t>序号</w:t>
            </w:r>
          </w:p>
        </w:tc>
        <w:tc>
          <w:tcPr>
            <w:tcW w:w="1435"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Style w:val="20"/>
                <w:rFonts w:hint="default" w:ascii="Times New Roman" w:hAnsi="Times New Roman" w:eastAsia="仿宋_GB2312" w:cs="Times New Roman"/>
                <w:b/>
                <w:bCs/>
                <w:color w:val="auto"/>
                <w:sz w:val="24"/>
                <w:szCs w:val="24"/>
                <w:lang w:val="en-US" w:eastAsia="zh-CN" w:bidi="ar"/>
              </w:rPr>
              <w:t>问题</w:t>
            </w:r>
          </w:p>
        </w:tc>
        <w:tc>
          <w:tcPr>
            <w:tcW w:w="1687"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Style w:val="20"/>
                <w:rFonts w:hint="default" w:ascii="Times New Roman" w:hAnsi="Times New Roman" w:eastAsia="仿宋_GB2312" w:cs="Times New Roman"/>
                <w:b/>
                <w:bCs/>
                <w:color w:val="auto"/>
                <w:sz w:val="24"/>
                <w:szCs w:val="24"/>
                <w:lang w:val="en-US" w:eastAsia="zh-CN" w:bidi="ar"/>
              </w:rPr>
              <w:t>选项</w:t>
            </w:r>
          </w:p>
        </w:tc>
        <w:tc>
          <w:tcPr>
            <w:tcW w:w="671"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Style w:val="20"/>
                <w:rFonts w:hint="default" w:ascii="Times New Roman" w:hAnsi="Times New Roman" w:eastAsia="仿宋_GB2312" w:cs="Times New Roman"/>
                <w:b/>
                <w:bCs/>
                <w:color w:val="auto"/>
                <w:sz w:val="24"/>
                <w:szCs w:val="24"/>
                <w:lang w:val="en-US" w:eastAsia="zh-CN" w:bidi="ar"/>
              </w:rPr>
              <w:t>人数</w:t>
            </w:r>
          </w:p>
        </w:tc>
        <w:tc>
          <w:tcPr>
            <w:tcW w:w="811" w:type="pct"/>
            <w:tcBorders>
              <w:top w:val="single" w:color="000000" w:sz="4" w:space="0"/>
              <w:left w:val="single" w:color="000000" w:sz="4" w:space="0"/>
              <w:bottom w:val="single" w:color="000000" w:sz="4" w:space="0"/>
              <w:right w:val="single" w:color="000000" w:sz="4" w:space="0"/>
            </w:tcBorders>
            <w:shd w:val="clear" w:color="auto" w:fill="DBE3F4" w:themeFill="accent1" w:themeFillTint="32"/>
            <w:noWrap/>
            <w:vAlign w:val="center"/>
          </w:tcPr>
          <w:p>
            <w:pPr>
              <w:keepNext w:val="0"/>
              <w:keepLines w:val="0"/>
              <w:widowControl/>
              <w:suppressLineNumbers w:val="0"/>
              <w:jc w:val="center"/>
              <w:textAlignment w:val="center"/>
              <w:rPr>
                <w:rFonts w:hint="default" w:ascii="Times New Roman" w:hAnsi="Times New Roman" w:eastAsia="仿宋_GB2312" w:cs="Times New Roman"/>
                <w:b/>
                <w:bCs/>
                <w:i w:val="0"/>
                <w:iCs w:val="0"/>
                <w:color w:val="auto"/>
                <w:sz w:val="24"/>
                <w:szCs w:val="24"/>
                <w:u w:val="none"/>
              </w:rPr>
            </w:pPr>
            <w:r>
              <w:rPr>
                <w:rStyle w:val="20"/>
                <w:rFonts w:hint="default" w:ascii="Times New Roman" w:hAnsi="Times New Roman" w:eastAsia="仿宋_GB2312" w:cs="Times New Roman"/>
                <w:b/>
                <w:bCs/>
                <w:color w:val="auto"/>
                <w:sz w:val="24"/>
                <w:szCs w:val="24"/>
                <w:lang w:val="en-US" w:eastAsia="zh-CN" w:bidi="ar"/>
              </w:rPr>
              <w:t>占比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bidi="ar"/>
              </w:rPr>
              <w:t>您是否了解东莞松山湖科技赋能产业高质量发展实施办法相关政策？</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单选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w:t>
            </w:r>
            <w:r>
              <w:rPr>
                <w:rStyle w:val="20"/>
                <w:rFonts w:hint="default" w:ascii="Times New Roman" w:hAnsi="Times New Roman" w:eastAsia="仿宋_GB2312" w:cs="Times New Roman"/>
                <w:color w:val="auto"/>
                <w:sz w:val="24"/>
                <w:szCs w:val="24"/>
                <w:lang w:val="en-US" w:eastAsia="zh-CN" w:bidi="ar"/>
              </w:rPr>
              <w:t>是</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151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94.97%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w:t>
            </w:r>
            <w:r>
              <w:rPr>
                <w:rStyle w:val="20"/>
                <w:rFonts w:hint="default" w:ascii="Times New Roman" w:hAnsi="Times New Roman" w:eastAsia="仿宋_GB2312" w:cs="Times New Roman"/>
                <w:color w:val="auto"/>
                <w:sz w:val="24"/>
                <w:szCs w:val="24"/>
                <w:lang w:val="en-US" w:eastAsia="zh-CN" w:bidi="ar"/>
              </w:rPr>
              <w:t>否</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bidi="ar"/>
              </w:rPr>
              <w:t>您主要通过哪种途径了解东莞松山湖科技赋能产业高质量发展实施办法相关政策</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多选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A.政府官方网站</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135</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B.网络媒体（如微信公众号等）</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95</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62.91%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C.纸质媒体（如报纸等）</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D.线下进入单位或企业座谈与宣传</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55</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36.42%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E.电话宣传</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F.其他途径（如微信群、高企协会通知等）</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12</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bidi="ar"/>
              </w:rPr>
              <w:t>您在</w:t>
            </w:r>
            <w:r>
              <w:rPr>
                <w:rStyle w:val="21"/>
                <w:rFonts w:hint="default" w:ascii="Times New Roman" w:hAnsi="Times New Roman" w:eastAsia="仿宋_GB2312" w:cs="Times New Roman"/>
                <w:color w:val="auto"/>
                <w:sz w:val="24"/>
                <w:szCs w:val="24"/>
                <w:lang w:val="en-US" w:eastAsia="zh-CN" w:bidi="ar"/>
              </w:rPr>
              <w:t>2025—2026</w:t>
            </w:r>
            <w:r>
              <w:rPr>
                <w:rStyle w:val="20"/>
                <w:rFonts w:hint="default" w:ascii="Times New Roman" w:hAnsi="Times New Roman" w:eastAsia="仿宋_GB2312" w:cs="Times New Roman"/>
                <w:color w:val="auto"/>
                <w:sz w:val="24"/>
                <w:szCs w:val="24"/>
                <w:lang w:val="en-US" w:eastAsia="zh-CN" w:bidi="ar"/>
              </w:rPr>
              <w:t>年期间获得过东莞松山湖科技赋能产业高质量发展实施办法相关政策兑现资金的次数</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单选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A.0</w:t>
            </w:r>
            <w:r>
              <w:rPr>
                <w:rStyle w:val="20"/>
                <w:rFonts w:hint="default" w:ascii="Times New Roman" w:hAnsi="Times New Roman" w:eastAsia="仿宋_GB2312" w:cs="Times New Roman"/>
                <w:color w:val="auto"/>
                <w:sz w:val="24"/>
                <w:szCs w:val="24"/>
                <w:lang w:val="en-US" w:eastAsia="zh-CN" w:bidi="ar"/>
              </w:rPr>
              <w:t>次</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12</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B.1</w:t>
            </w:r>
            <w:r>
              <w:rPr>
                <w:rStyle w:val="20"/>
                <w:rFonts w:hint="default" w:ascii="Times New Roman" w:hAnsi="Times New Roman" w:eastAsia="仿宋_GB2312" w:cs="Times New Roman"/>
                <w:color w:val="auto"/>
                <w:sz w:val="24"/>
                <w:szCs w:val="24"/>
                <w:lang w:val="en-US" w:eastAsia="zh-CN" w:bidi="ar"/>
              </w:rPr>
              <w:t>次</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52.32%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C.2</w:t>
            </w:r>
            <w:r>
              <w:rPr>
                <w:rStyle w:val="20"/>
                <w:rFonts w:hint="default" w:ascii="Times New Roman" w:hAnsi="Times New Roman" w:eastAsia="仿宋_GB2312" w:cs="Times New Roman"/>
                <w:color w:val="auto"/>
                <w:sz w:val="24"/>
                <w:szCs w:val="24"/>
                <w:lang w:val="en-US" w:eastAsia="zh-CN" w:bidi="ar"/>
              </w:rPr>
              <w:t>次及以上</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60</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39.74%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您在</w:t>
            </w:r>
            <w:r>
              <w:rPr>
                <w:rStyle w:val="21"/>
                <w:rFonts w:hint="default" w:ascii="Times New Roman" w:hAnsi="Times New Roman" w:eastAsia="仿宋_GB2312" w:cs="Times New Roman"/>
                <w:color w:val="auto"/>
                <w:sz w:val="24"/>
                <w:szCs w:val="24"/>
                <w:lang w:val="en-US" w:eastAsia="zh-CN" w:bidi="ar"/>
              </w:rPr>
              <w:t>2025—2026</w:t>
            </w:r>
            <w:r>
              <w:rPr>
                <w:rStyle w:val="20"/>
                <w:rFonts w:hint="default" w:ascii="Times New Roman" w:hAnsi="Times New Roman" w:eastAsia="仿宋_GB2312" w:cs="Times New Roman"/>
                <w:color w:val="auto"/>
                <w:sz w:val="24"/>
                <w:szCs w:val="24"/>
                <w:lang w:val="en-US" w:eastAsia="zh-CN" w:bidi="ar"/>
              </w:rPr>
              <w:t>年期间主要获得哪种类型的政策兑现资金</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多选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A.成果落地融资奖励</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B.技术受托开发奖励</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C.技术委托开发奖励</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D.技术转移人才奖励</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E.高新技术企业认定奖励（含重新认定、新认定）</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58.94%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F.企业研发投入补助</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48.34%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G.产业技术攻关奖励</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H.概念验证中心或中试平台认定奖励</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I.新购科研仪器设备补贴</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J.鼓励科技企业孵化器评先争优</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K.科学副校长补贴</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16</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L.科普阵地品质提升奖励</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M.其他</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bidi="ar"/>
              </w:rPr>
              <w:t>您对东莞松山湖科技赋能产业高质量发展实施办法相关政策组织申报、评审、验收等工作流程是否满意？</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单选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w:t>
            </w:r>
            <w:r>
              <w:rPr>
                <w:rStyle w:val="22"/>
                <w:rFonts w:hint="default" w:ascii="Times New Roman" w:hAnsi="Times New Roman" w:eastAsia="仿宋_GB2312" w:cs="Times New Roman"/>
                <w:color w:val="auto"/>
                <w:sz w:val="24"/>
                <w:szCs w:val="24"/>
                <w:lang w:val="en-US" w:eastAsia="zh-CN" w:bidi="ar"/>
              </w:rPr>
              <w:t>非常满意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107</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w:t>
            </w:r>
            <w:r>
              <w:rPr>
                <w:rStyle w:val="22"/>
                <w:rFonts w:hint="default" w:ascii="Times New Roman" w:hAnsi="Times New Roman" w:eastAsia="仿宋_GB2312" w:cs="Times New Roman"/>
                <w:color w:val="auto"/>
                <w:sz w:val="24"/>
                <w:szCs w:val="24"/>
                <w:lang w:val="en-US" w:eastAsia="zh-CN" w:bidi="ar"/>
              </w:rPr>
              <w:t>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27.15%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C.</w:t>
            </w:r>
            <w:r>
              <w:rPr>
                <w:rStyle w:val="22"/>
                <w:rFonts w:hint="default" w:ascii="Times New Roman" w:hAnsi="Times New Roman" w:eastAsia="仿宋_GB2312" w:cs="Times New Roman"/>
                <w:color w:val="auto"/>
                <w:sz w:val="24"/>
                <w:szCs w:val="24"/>
                <w:lang w:val="en-US" w:eastAsia="zh-CN" w:bidi="ar"/>
              </w:rPr>
              <w:t>一般</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D.</w:t>
            </w:r>
            <w:r>
              <w:rPr>
                <w:rStyle w:val="22"/>
                <w:rFonts w:hint="default" w:ascii="Times New Roman" w:hAnsi="Times New Roman" w:eastAsia="仿宋_GB2312" w:cs="Times New Roman"/>
                <w:color w:val="auto"/>
                <w:sz w:val="24"/>
                <w:szCs w:val="24"/>
                <w:lang w:val="en-US" w:eastAsia="zh-CN" w:bidi="ar"/>
              </w:rPr>
              <w:t>不太满意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E.</w:t>
            </w:r>
            <w:r>
              <w:rPr>
                <w:rStyle w:val="22"/>
                <w:rFonts w:hint="default" w:ascii="Times New Roman" w:hAnsi="Times New Roman" w:eastAsia="仿宋_GB2312" w:cs="Times New Roman"/>
                <w:color w:val="auto"/>
                <w:sz w:val="24"/>
                <w:szCs w:val="24"/>
                <w:lang w:val="en-US" w:eastAsia="zh-CN" w:bidi="ar"/>
              </w:rPr>
              <w:t>不满意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bidi="ar"/>
              </w:rPr>
              <w:t>您对东莞松山湖科技赋能产业高质量发展实施办法相关政策兑现资金审核进度是否满意？</w:t>
            </w:r>
            <w:r>
              <w:rPr>
                <w:rStyle w:val="21"/>
                <w:rFonts w:hint="default" w:ascii="Times New Roman" w:hAnsi="Times New Roman" w:eastAsia="仿宋_GB2312" w:cs="Times New Roman"/>
                <w:color w:val="auto"/>
                <w:sz w:val="24"/>
                <w:szCs w:val="24"/>
                <w:lang w:val="en-US" w:eastAsia="zh-CN" w:bidi="ar"/>
              </w:rPr>
              <w:t xml:space="preserve"> </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单选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w:t>
            </w:r>
            <w:r>
              <w:rPr>
                <w:rStyle w:val="22"/>
                <w:rFonts w:hint="default" w:ascii="Times New Roman" w:hAnsi="Times New Roman" w:eastAsia="仿宋_GB2312" w:cs="Times New Roman"/>
                <w:color w:val="auto"/>
                <w:sz w:val="24"/>
                <w:szCs w:val="24"/>
                <w:lang w:val="en-US" w:eastAsia="zh-CN" w:bidi="ar"/>
              </w:rPr>
              <w:t>非常满意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107</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w:t>
            </w:r>
            <w:r>
              <w:rPr>
                <w:rStyle w:val="22"/>
                <w:rFonts w:hint="default" w:ascii="Times New Roman" w:hAnsi="Times New Roman" w:eastAsia="仿宋_GB2312" w:cs="Times New Roman"/>
                <w:color w:val="auto"/>
                <w:sz w:val="24"/>
                <w:szCs w:val="24"/>
                <w:lang w:val="en-US" w:eastAsia="zh-CN" w:bidi="ar"/>
              </w:rPr>
              <w:t>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27.15%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C.</w:t>
            </w:r>
            <w:r>
              <w:rPr>
                <w:rStyle w:val="22"/>
                <w:rFonts w:hint="default" w:ascii="Times New Roman" w:hAnsi="Times New Roman" w:eastAsia="仿宋_GB2312" w:cs="Times New Roman"/>
                <w:color w:val="auto"/>
                <w:sz w:val="24"/>
                <w:szCs w:val="24"/>
                <w:lang w:val="en-US" w:eastAsia="zh-CN" w:bidi="ar"/>
              </w:rPr>
              <w:t>一般</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D.</w:t>
            </w:r>
            <w:r>
              <w:rPr>
                <w:rStyle w:val="22"/>
                <w:rFonts w:hint="default" w:ascii="Times New Roman" w:hAnsi="Times New Roman" w:eastAsia="仿宋_GB2312" w:cs="Times New Roman"/>
                <w:color w:val="auto"/>
                <w:sz w:val="24"/>
                <w:szCs w:val="24"/>
                <w:lang w:val="en-US" w:eastAsia="zh-CN" w:bidi="ar"/>
              </w:rPr>
              <w:t>不太满意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E.</w:t>
            </w:r>
            <w:r>
              <w:rPr>
                <w:rStyle w:val="22"/>
                <w:rFonts w:hint="default" w:ascii="Times New Roman" w:hAnsi="Times New Roman" w:eastAsia="仿宋_GB2312" w:cs="Times New Roman"/>
                <w:color w:val="auto"/>
                <w:sz w:val="24"/>
                <w:szCs w:val="24"/>
                <w:lang w:val="en-US" w:eastAsia="zh-CN" w:bidi="ar"/>
              </w:rPr>
              <w:t>不满意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bidi="ar"/>
              </w:rPr>
              <w:t>您对东莞松山湖科技赋能产业高质量发展实施办法相关政策兑现资金发放及时率是否满意？</w:t>
            </w:r>
            <w:r>
              <w:rPr>
                <w:rStyle w:val="21"/>
                <w:rFonts w:hint="default" w:ascii="Times New Roman" w:hAnsi="Times New Roman" w:eastAsia="仿宋_GB2312" w:cs="Times New Roman"/>
                <w:color w:val="auto"/>
                <w:sz w:val="24"/>
                <w:szCs w:val="24"/>
                <w:lang w:val="en-US" w:eastAsia="zh-CN" w:bidi="ar"/>
              </w:rPr>
              <w:t xml:space="preserve"> </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单选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w:t>
            </w:r>
            <w:r>
              <w:rPr>
                <w:rStyle w:val="22"/>
                <w:rFonts w:hint="default" w:ascii="Times New Roman" w:hAnsi="Times New Roman" w:eastAsia="仿宋_GB2312" w:cs="Times New Roman"/>
                <w:color w:val="auto"/>
                <w:sz w:val="24"/>
                <w:szCs w:val="24"/>
                <w:lang w:val="en-US" w:eastAsia="zh-CN" w:bidi="ar"/>
              </w:rPr>
              <w:t>非常满意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110</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w:t>
            </w:r>
            <w:r>
              <w:rPr>
                <w:rStyle w:val="22"/>
                <w:rFonts w:hint="default" w:ascii="Times New Roman" w:hAnsi="Times New Roman" w:eastAsia="仿宋_GB2312" w:cs="Times New Roman"/>
                <w:color w:val="auto"/>
                <w:sz w:val="24"/>
                <w:szCs w:val="24"/>
                <w:lang w:val="en-US" w:eastAsia="zh-CN" w:bidi="ar"/>
              </w:rPr>
              <w:t>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36</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23.84%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C.</w:t>
            </w:r>
            <w:r>
              <w:rPr>
                <w:rStyle w:val="22"/>
                <w:rFonts w:hint="default" w:ascii="Times New Roman" w:hAnsi="Times New Roman" w:eastAsia="仿宋_GB2312" w:cs="Times New Roman"/>
                <w:color w:val="auto"/>
                <w:sz w:val="24"/>
                <w:szCs w:val="24"/>
                <w:lang w:val="en-US" w:eastAsia="zh-CN" w:bidi="ar"/>
              </w:rPr>
              <w:t>一般</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D.</w:t>
            </w:r>
            <w:r>
              <w:rPr>
                <w:rStyle w:val="22"/>
                <w:rFonts w:hint="default" w:ascii="Times New Roman" w:hAnsi="Times New Roman" w:eastAsia="仿宋_GB2312" w:cs="Times New Roman"/>
                <w:color w:val="auto"/>
                <w:sz w:val="24"/>
                <w:szCs w:val="24"/>
                <w:lang w:val="en-US" w:eastAsia="zh-CN" w:bidi="ar"/>
              </w:rPr>
              <w:t>不太满意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E.</w:t>
            </w:r>
            <w:r>
              <w:rPr>
                <w:rStyle w:val="22"/>
                <w:rFonts w:hint="default" w:ascii="Times New Roman" w:hAnsi="Times New Roman" w:eastAsia="仿宋_GB2312" w:cs="Times New Roman"/>
                <w:color w:val="auto"/>
                <w:sz w:val="24"/>
                <w:szCs w:val="24"/>
                <w:lang w:val="en-US" w:eastAsia="zh-CN" w:bidi="ar"/>
              </w:rPr>
              <w:t>不满意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8</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bidi="ar"/>
              </w:rPr>
              <w:t>您对东莞松山湖科技赋能产业高质量发展实施办法相关政策兑现资金奖励标准是否满意</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单选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w:t>
            </w:r>
            <w:r>
              <w:rPr>
                <w:rStyle w:val="22"/>
                <w:rFonts w:hint="default" w:ascii="Times New Roman" w:hAnsi="Times New Roman" w:eastAsia="仿宋_GB2312" w:cs="Times New Roman"/>
                <w:color w:val="auto"/>
                <w:sz w:val="24"/>
                <w:szCs w:val="24"/>
                <w:lang w:val="en-US" w:eastAsia="zh-CN" w:bidi="ar"/>
              </w:rPr>
              <w:t>非常满意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68.21%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w:t>
            </w:r>
            <w:r>
              <w:rPr>
                <w:rStyle w:val="22"/>
                <w:rFonts w:hint="default" w:ascii="Times New Roman" w:hAnsi="Times New Roman" w:eastAsia="仿宋_GB2312" w:cs="Times New Roman"/>
                <w:color w:val="auto"/>
                <w:sz w:val="24"/>
                <w:szCs w:val="24"/>
                <w:lang w:val="en-US" w:eastAsia="zh-CN" w:bidi="ar"/>
              </w:rPr>
              <w:t>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38</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25.17%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C.</w:t>
            </w:r>
            <w:r>
              <w:rPr>
                <w:rStyle w:val="22"/>
                <w:rFonts w:hint="default" w:ascii="Times New Roman" w:hAnsi="Times New Roman" w:eastAsia="仿宋_GB2312" w:cs="Times New Roman"/>
                <w:color w:val="auto"/>
                <w:sz w:val="24"/>
                <w:szCs w:val="24"/>
                <w:lang w:val="en-US" w:eastAsia="zh-CN" w:bidi="ar"/>
              </w:rPr>
              <w:t>一般</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D.</w:t>
            </w:r>
            <w:r>
              <w:rPr>
                <w:rStyle w:val="22"/>
                <w:rFonts w:hint="default" w:ascii="Times New Roman" w:hAnsi="Times New Roman" w:eastAsia="仿宋_GB2312" w:cs="Times New Roman"/>
                <w:color w:val="auto"/>
                <w:sz w:val="24"/>
                <w:szCs w:val="24"/>
                <w:lang w:val="en-US" w:eastAsia="zh-CN" w:bidi="ar"/>
              </w:rPr>
              <w:t>不太满意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E.</w:t>
            </w:r>
            <w:r>
              <w:rPr>
                <w:rStyle w:val="22"/>
                <w:rFonts w:hint="default" w:ascii="Times New Roman" w:hAnsi="Times New Roman" w:eastAsia="仿宋_GB2312" w:cs="Times New Roman"/>
                <w:color w:val="auto"/>
                <w:sz w:val="24"/>
                <w:szCs w:val="24"/>
                <w:lang w:val="en-US" w:eastAsia="zh-CN" w:bidi="ar"/>
              </w:rPr>
              <w:t>不满意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9</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bidi="ar"/>
              </w:rPr>
              <w:t>您对东莞松山湖科技赋能产业高质量发展实施办法相关政策整体实施效果是否满意？</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单选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w:t>
            </w:r>
            <w:r>
              <w:rPr>
                <w:rStyle w:val="22"/>
                <w:rFonts w:hint="default" w:ascii="Times New Roman" w:hAnsi="Times New Roman" w:eastAsia="仿宋_GB2312" w:cs="Times New Roman"/>
                <w:color w:val="auto"/>
                <w:sz w:val="24"/>
                <w:szCs w:val="24"/>
                <w:lang w:val="en-US" w:eastAsia="zh-CN" w:bidi="ar"/>
              </w:rPr>
              <w:t>非常满意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72.19%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w:t>
            </w:r>
            <w:r>
              <w:rPr>
                <w:rStyle w:val="22"/>
                <w:rFonts w:hint="default" w:ascii="Times New Roman" w:hAnsi="Times New Roman" w:eastAsia="仿宋_GB2312" w:cs="Times New Roman"/>
                <w:color w:val="auto"/>
                <w:sz w:val="24"/>
                <w:szCs w:val="24"/>
                <w:lang w:val="en-US" w:eastAsia="zh-CN" w:bidi="ar"/>
              </w:rPr>
              <w:t>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38</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25.17%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C.</w:t>
            </w:r>
            <w:r>
              <w:rPr>
                <w:rStyle w:val="22"/>
                <w:rFonts w:hint="default" w:ascii="Times New Roman" w:hAnsi="Times New Roman" w:eastAsia="仿宋_GB2312" w:cs="Times New Roman"/>
                <w:color w:val="auto"/>
                <w:sz w:val="24"/>
                <w:szCs w:val="24"/>
                <w:lang w:val="en-US" w:eastAsia="zh-CN" w:bidi="ar"/>
              </w:rPr>
              <w:t>一般</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D.</w:t>
            </w:r>
            <w:r>
              <w:rPr>
                <w:rStyle w:val="22"/>
                <w:rFonts w:hint="default" w:ascii="Times New Roman" w:hAnsi="Times New Roman" w:eastAsia="仿宋_GB2312" w:cs="Times New Roman"/>
                <w:color w:val="auto"/>
                <w:sz w:val="24"/>
                <w:szCs w:val="24"/>
                <w:lang w:val="en-US" w:eastAsia="zh-CN" w:bidi="ar"/>
              </w:rPr>
              <w:t>不太满意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E.</w:t>
            </w:r>
            <w:r>
              <w:rPr>
                <w:rStyle w:val="22"/>
                <w:rFonts w:hint="default" w:ascii="Times New Roman" w:hAnsi="Times New Roman" w:eastAsia="仿宋_GB2312" w:cs="Times New Roman"/>
                <w:color w:val="auto"/>
                <w:sz w:val="24"/>
                <w:szCs w:val="24"/>
                <w:lang w:val="en-US" w:eastAsia="zh-CN" w:bidi="ar"/>
              </w:rPr>
              <w:t>不满意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10</w:t>
            </w:r>
          </w:p>
        </w:tc>
        <w:tc>
          <w:tcPr>
            <w:tcW w:w="143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Style w:val="20"/>
                <w:rFonts w:hint="default" w:ascii="Times New Roman" w:hAnsi="Times New Roman" w:eastAsia="仿宋_GB2312" w:cs="Times New Roman"/>
                <w:color w:val="auto"/>
                <w:sz w:val="24"/>
                <w:szCs w:val="24"/>
                <w:lang w:val="en-US" w:eastAsia="zh-CN" w:bidi="ar"/>
              </w:rPr>
              <w:t>您认为目前东莞松山湖科技赋能产业高质量发展实施办法相关政策主要存在哪些问题？</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多选</w:t>
            </w:r>
            <w:r>
              <w:rPr>
                <w:rStyle w:val="21"/>
                <w:rFonts w:hint="eastAsia" w:ascii="Times New Roman" w:hAnsi="Times New Roman" w:eastAsia="仿宋_GB2312" w:cs="Times New Roman"/>
                <w:color w:val="auto"/>
                <w:sz w:val="24"/>
                <w:szCs w:val="24"/>
                <w:lang w:val="en-US" w:eastAsia="zh-CN" w:bidi="ar"/>
              </w:rPr>
              <w:t>）</w:t>
            </w: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A.</w:t>
            </w:r>
            <w:r>
              <w:rPr>
                <w:rStyle w:val="20"/>
                <w:rFonts w:hint="default" w:ascii="Times New Roman" w:hAnsi="Times New Roman" w:eastAsia="仿宋_GB2312" w:cs="Times New Roman"/>
                <w:color w:val="auto"/>
                <w:sz w:val="24"/>
                <w:szCs w:val="24"/>
                <w:lang w:val="en-US" w:eastAsia="zh-CN" w:bidi="ar"/>
              </w:rPr>
              <w:t>政策种类繁多，难以理解</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22</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14.57%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B.</w:t>
            </w:r>
            <w:r>
              <w:rPr>
                <w:rStyle w:val="20"/>
                <w:rFonts w:hint="default" w:ascii="Times New Roman" w:hAnsi="Times New Roman" w:eastAsia="仿宋_GB2312" w:cs="Times New Roman"/>
                <w:color w:val="auto"/>
                <w:sz w:val="24"/>
                <w:szCs w:val="24"/>
                <w:lang w:val="en-US" w:eastAsia="zh-CN" w:bidi="ar"/>
              </w:rPr>
              <w:t>政策享受的对象和范围较小</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69</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45.70%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C.</w:t>
            </w:r>
            <w:r>
              <w:rPr>
                <w:rStyle w:val="20"/>
                <w:rFonts w:hint="default" w:ascii="Times New Roman" w:hAnsi="Times New Roman" w:eastAsia="仿宋_GB2312" w:cs="Times New Roman"/>
                <w:color w:val="auto"/>
                <w:sz w:val="24"/>
                <w:szCs w:val="24"/>
                <w:lang w:val="en-US" w:eastAsia="zh-CN" w:bidi="ar"/>
              </w:rPr>
              <w:t>政策规定限制较多，办理手续繁琐</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24</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15.89%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D.</w:t>
            </w:r>
            <w:r>
              <w:rPr>
                <w:rStyle w:val="20"/>
                <w:rFonts w:hint="default" w:ascii="Times New Roman" w:hAnsi="Times New Roman" w:eastAsia="仿宋_GB2312" w:cs="Times New Roman"/>
                <w:color w:val="auto"/>
                <w:sz w:val="24"/>
                <w:szCs w:val="24"/>
                <w:lang w:val="en-US" w:eastAsia="zh-CN" w:bidi="ar"/>
              </w:rPr>
              <w:t>政策支持力度不够</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53</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35.10%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E.</w:t>
            </w:r>
            <w:r>
              <w:rPr>
                <w:rStyle w:val="20"/>
                <w:rFonts w:hint="default" w:ascii="Times New Roman" w:hAnsi="Times New Roman" w:eastAsia="仿宋_GB2312" w:cs="Times New Roman"/>
                <w:color w:val="auto"/>
                <w:sz w:val="24"/>
                <w:szCs w:val="24"/>
                <w:lang w:val="en-US" w:eastAsia="zh-CN" w:bidi="ar"/>
              </w:rPr>
              <w:t>政策知晓率低，解读不到位</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17</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11.26%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i w:val="0"/>
                <w:iCs w:val="0"/>
                <w:color w:val="auto"/>
                <w:sz w:val="24"/>
                <w:szCs w:val="24"/>
                <w:u w:val="none"/>
              </w:rPr>
            </w:pPr>
          </w:p>
        </w:tc>
        <w:tc>
          <w:tcPr>
            <w:tcW w:w="143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default" w:ascii="Times New Roman" w:hAnsi="Times New Roman" w:eastAsia="仿宋_GB2312" w:cs="Times New Roman"/>
                <w:i w:val="0"/>
                <w:iCs w:val="0"/>
                <w:color w:val="auto"/>
                <w:sz w:val="24"/>
                <w:szCs w:val="24"/>
                <w:u w:val="none"/>
              </w:rPr>
            </w:pPr>
          </w:p>
        </w:tc>
        <w:tc>
          <w:tcPr>
            <w:tcW w:w="16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F.</w:t>
            </w:r>
            <w:r>
              <w:rPr>
                <w:rStyle w:val="20"/>
                <w:rFonts w:hint="default" w:ascii="Times New Roman" w:hAnsi="Times New Roman" w:eastAsia="仿宋_GB2312" w:cs="Times New Roman"/>
                <w:color w:val="auto"/>
                <w:sz w:val="24"/>
                <w:szCs w:val="24"/>
                <w:lang w:val="en-US" w:eastAsia="zh-CN" w:bidi="ar"/>
              </w:rPr>
              <w:t>其他（简要文字说明）</w:t>
            </w:r>
          </w:p>
        </w:tc>
        <w:tc>
          <w:tcPr>
            <w:tcW w:w="67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26</w:t>
            </w:r>
          </w:p>
        </w:tc>
        <w:tc>
          <w:tcPr>
            <w:tcW w:w="81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11</w:t>
            </w:r>
          </w:p>
        </w:tc>
        <w:tc>
          <w:tcPr>
            <w:tcW w:w="460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both"/>
              <w:textAlignment w:val="center"/>
              <w:rPr>
                <w:rFonts w:hint="default" w:ascii="Times New Roman" w:hAnsi="Times New Roman" w:eastAsia="仿宋_GB2312" w:cs="Times New Roman"/>
                <w:i w:val="0"/>
                <w:iCs w:val="0"/>
                <w:color w:val="auto"/>
                <w:sz w:val="24"/>
                <w:szCs w:val="24"/>
                <w:u w:val="none"/>
              </w:rPr>
            </w:pPr>
            <w:r>
              <w:rPr>
                <w:rFonts w:hint="default" w:ascii="Times New Roman" w:hAnsi="Times New Roman" w:eastAsia="仿宋_GB2312" w:cs="Times New Roman"/>
                <w:i w:val="0"/>
                <w:iCs w:val="0"/>
                <w:color w:val="auto"/>
                <w:kern w:val="0"/>
                <w:sz w:val="24"/>
                <w:szCs w:val="24"/>
                <w:u w:val="none"/>
                <w:lang w:val="en-US" w:eastAsia="zh-CN" w:bidi="ar"/>
              </w:rPr>
              <w:t>您对东莞松山湖科技赋能产业高质量发展实施办法相关政策优化和项目实施有什么建议？</w:t>
            </w:r>
            <w:r>
              <w:rPr>
                <w:rStyle w:val="21"/>
                <w:rFonts w:hint="eastAsia"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简答</w:t>
            </w:r>
            <w:r>
              <w:rPr>
                <w:rStyle w:val="21"/>
                <w:rFonts w:hint="eastAsia" w:ascii="Times New Roman" w:hAnsi="Times New Roman" w:eastAsia="仿宋_GB2312" w:cs="Times New Roman"/>
                <w:color w:val="auto"/>
                <w:sz w:val="24"/>
                <w:szCs w:val="24"/>
                <w:lang w:val="en-US" w:eastAsia="zh-CN" w:bidi="ar"/>
              </w:rPr>
              <w:t>）</w:t>
            </w:r>
            <w:r>
              <w:rPr>
                <w:rStyle w:val="21"/>
                <w:rFonts w:hint="default" w:ascii="Times New Roman" w:hAnsi="Times New Roman" w:eastAsia="仿宋_GB2312" w:cs="Times New Roman"/>
                <w:color w:val="auto"/>
                <w:sz w:val="24"/>
                <w:szCs w:val="24"/>
                <w:lang w:val="en-US" w:eastAsia="zh-CN" w:bidi="ar"/>
              </w:rPr>
              <w:br w:type="textWrapping"/>
            </w:r>
            <w:r>
              <w:rPr>
                <w:rStyle w:val="21"/>
                <w:rFonts w:hint="default" w:ascii="Times New Roman" w:hAnsi="Times New Roman" w:eastAsia="仿宋_GB2312" w:cs="Times New Roman"/>
                <w:color w:val="auto"/>
                <w:sz w:val="24"/>
                <w:szCs w:val="24"/>
                <w:lang w:val="en-US" w:eastAsia="zh-CN" w:bidi="ar"/>
              </w:rPr>
              <w:t>1.</w:t>
            </w:r>
            <w:r>
              <w:rPr>
                <w:rStyle w:val="20"/>
                <w:rFonts w:hint="default" w:ascii="Times New Roman" w:hAnsi="Times New Roman" w:eastAsia="仿宋_GB2312" w:cs="Times New Roman"/>
                <w:color w:val="auto"/>
                <w:sz w:val="24"/>
                <w:szCs w:val="24"/>
                <w:lang w:val="en-US" w:eastAsia="zh-CN" w:bidi="ar"/>
              </w:rPr>
              <w:t>加大政策宣传力度，召开项目政策解读会，有适合企业的政策除了官网公示，能在微信群中通知等。</w:t>
            </w:r>
            <w:r>
              <w:rPr>
                <w:rStyle w:val="21"/>
                <w:rFonts w:hint="default" w:ascii="Times New Roman" w:hAnsi="Times New Roman" w:eastAsia="仿宋_GB2312" w:cs="Times New Roman"/>
                <w:color w:val="auto"/>
                <w:sz w:val="24"/>
                <w:szCs w:val="24"/>
                <w:lang w:val="en-US" w:eastAsia="zh-CN" w:bidi="ar"/>
              </w:rPr>
              <w:br w:type="textWrapping"/>
            </w:r>
            <w:r>
              <w:rPr>
                <w:rStyle w:val="21"/>
                <w:rFonts w:hint="default" w:ascii="Times New Roman" w:hAnsi="Times New Roman" w:eastAsia="仿宋_GB2312" w:cs="Times New Roman"/>
                <w:color w:val="auto"/>
                <w:sz w:val="24"/>
                <w:szCs w:val="24"/>
                <w:lang w:val="en-US" w:eastAsia="zh-CN" w:bidi="ar"/>
              </w:rPr>
              <w:t>2.</w:t>
            </w:r>
            <w:r>
              <w:rPr>
                <w:rStyle w:val="20"/>
                <w:rFonts w:hint="default" w:ascii="Times New Roman" w:hAnsi="Times New Roman" w:eastAsia="仿宋_GB2312" w:cs="Times New Roman"/>
                <w:color w:val="auto"/>
                <w:sz w:val="24"/>
                <w:szCs w:val="24"/>
                <w:lang w:val="en-US" w:eastAsia="zh-CN" w:bidi="ar"/>
              </w:rPr>
              <w:t>简化申报程序，加大经费支持力度，进一步细化评审细则。</w:t>
            </w:r>
            <w:r>
              <w:rPr>
                <w:rStyle w:val="21"/>
                <w:rFonts w:hint="default" w:ascii="Times New Roman" w:hAnsi="Times New Roman" w:eastAsia="仿宋_GB2312" w:cs="Times New Roman"/>
                <w:color w:val="auto"/>
                <w:sz w:val="24"/>
                <w:szCs w:val="24"/>
                <w:lang w:val="en-US" w:eastAsia="zh-CN" w:bidi="ar"/>
              </w:rPr>
              <w:br w:type="textWrapping"/>
            </w:r>
            <w:r>
              <w:rPr>
                <w:rStyle w:val="21"/>
                <w:rFonts w:hint="eastAsia" w:ascii="Times New Roman" w:hAnsi="Times New Roman" w:eastAsia="仿宋_GB2312" w:cs="Times New Roman"/>
                <w:color w:val="auto"/>
                <w:sz w:val="24"/>
                <w:szCs w:val="24"/>
                <w:lang w:val="en-US" w:eastAsia="zh-CN" w:bidi="ar"/>
              </w:rPr>
              <w:t>3</w:t>
            </w:r>
            <w:r>
              <w:rPr>
                <w:rStyle w:val="21"/>
                <w:rFonts w:hint="default"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希望能够分批次申请、审核，免得错过政策申报窗口期。</w:t>
            </w:r>
            <w:r>
              <w:rPr>
                <w:rStyle w:val="21"/>
                <w:rFonts w:hint="default" w:ascii="Times New Roman" w:hAnsi="Times New Roman" w:eastAsia="仿宋_GB2312" w:cs="Times New Roman"/>
                <w:color w:val="auto"/>
                <w:sz w:val="24"/>
                <w:szCs w:val="24"/>
                <w:lang w:val="en-US" w:eastAsia="zh-CN" w:bidi="ar"/>
              </w:rPr>
              <w:br w:type="textWrapping"/>
            </w:r>
            <w:r>
              <w:rPr>
                <w:rStyle w:val="21"/>
                <w:rFonts w:hint="eastAsia" w:ascii="Times New Roman" w:hAnsi="Times New Roman" w:eastAsia="仿宋_GB2312" w:cs="Times New Roman"/>
                <w:color w:val="auto"/>
                <w:sz w:val="24"/>
                <w:szCs w:val="24"/>
                <w:lang w:val="en-US" w:eastAsia="zh-CN" w:bidi="ar"/>
              </w:rPr>
              <w:t>4</w:t>
            </w:r>
            <w:r>
              <w:rPr>
                <w:rStyle w:val="21"/>
                <w:rFonts w:hint="default" w:ascii="Times New Roman" w:hAnsi="Times New Roman" w:eastAsia="仿宋_GB2312" w:cs="Times New Roman"/>
                <w:color w:val="auto"/>
                <w:sz w:val="24"/>
                <w:szCs w:val="24"/>
                <w:lang w:val="en-US" w:eastAsia="zh-CN" w:bidi="ar"/>
              </w:rPr>
              <w:t>.</w:t>
            </w:r>
            <w:r>
              <w:rPr>
                <w:rStyle w:val="20"/>
                <w:rFonts w:hint="default" w:ascii="Times New Roman" w:hAnsi="Times New Roman" w:eastAsia="仿宋_GB2312" w:cs="Times New Roman"/>
                <w:color w:val="auto"/>
                <w:sz w:val="24"/>
                <w:szCs w:val="24"/>
                <w:lang w:val="en-US" w:eastAsia="zh-CN" w:bidi="ar"/>
              </w:rPr>
              <w:t>应用示范类项目补贴较少，希望适当增加。</w:t>
            </w:r>
          </w:p>
        </w:tc>
      </w:tr>
    </w:tbl>
    <w:p>
      <w:pPr>
        <w:pStyle w:val="17"/>
        <w:bidi w:val="0"/>
        <w:ind w:left="0" w:leftChars="0" w:firstLine="0" w:firstLineChars="0"/>
        <w:rPr>
          <w:rFonts w:hint="default"/>
          <w:color w:val="auto"/>
          <w:lang w:val="en-US" w:eastAsia="zh-CN"/>
        </w:rPr>
      </w:pPr>
    </w:p>
    <w:sectPr>
      <w:pgSz w:w="11906" w:h="16838"/>
      <w:pgMar w:top="2041" w:right="1417" w:bottom="1417"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5"/>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3</w:t>
                    </w:r>
                    <w:r>
                      <w:rPr>
                        <w:rFonts w:hint="default" w:ascii="Times New Roman" w:hAnsi="Times New Roman" w:cs="Times New Roman"/>
                        <w:sz w:val="24"/>
                        <w:szCs w:val="24"/>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6">
    <w:p>
      <w:r>
        <w:separator/>
      </w:r>
    </w:p>
  </w:footnote>
  <w:footnote w:type="continuationSeparator" w:id="17">
    <w:p>
      <w:r>
        <w:continuationSeparator/>
      </w:r>
    </w:p>
  </w:footnote>
  <w:footnote w:id="0">
    <w:p>
      <w:pPr>
        <w:pStyle w:val="8"/>
        <w:snapToGrid w:val="0"/>
        <w:rPr>
          <w:rFonts w:hint="default" w:ascii="Times New Roman" w:hAnsi="Times New Roman" w:cs="Times New Roman"/>
        </w:rPr>
      </w:pPr>
      <w:r>
        <w:rPr>
          <w:rStyle w:val="14"/>
          <w:rFonts w:hint="default" w:ascii="Times New Roman" w:hAnsi="Times New Roman" w:cs="Times New Roman"/>
        </w:rPr>
        <w:t>[</w:t>
      </w:r>
      <w:r>
        <w:rPr>
          <w:rStyle w:val="14"/>
          <w:rFonts w:hint="default" w:ascii="Times New Roman" w:hAnsi="Times New Roman" w:cs="Times New Roman"/>
        </w:rPr>
        <w:footnoteRef/>
      </w:r>
      <w:r>
        <w:rPr>
          <w:rStyle w:val="14"/>
          <w:rFonts w:hint="default" w:ascii="Times New Roman" w:hAnsi="Times New Roman" w:cs="Times New Roman"/>
        </w:rPr>
        <w:t>]</w:t>
      </w:r>
      <w:r>
        <w:rPr>
          <w:rFonts w:hint="default" w:ascii="Times New Roman" w:hAnsi="Times New Roman" w:cs="Times New Roman"/>
        </w:rPr>
        <w:t xml:space="preserve"> </w:t>
      </w:r>
      <w:r>
        <w:rPr>
          <w:rFonts w:hint="default" w:ascii="Times New Roman" w:hAnsi="Times New Roman" w:eastAsia="宋体" w:cs="Times New Roman"/>
          <w:lang w:val="en-US" w:eastAsia="zh-CN"/>
        </w:rPr>
        <w:t>信息来源：《东莞松山湖科技赋能产业高质量发展实施办法》（东松规〔2025〕2号）。</w:t>
      </w:r>
    </w:p>
  </w:footnote>
  <w:footnote w:id="1">
    <w:p>
      <w:pPr>
        <w:pStyle w:val="8"/>
        <w:snapToGrid w:val="0"/>
        <w:rPr>
          <w:rFonts w:hint="default" w:ascii="Times New Roman" w:hAnsi="Times New Roman" w:cs="Times New Roman" w:eastAsiaTheme="minorEastAsia"/>
          <w:lang w:val="en-US" w:eastAsia="zh-CN"/>
        </w:rPr>
      </w:pPr>
      <w:r>
        <w:rPr>
          <w:rStyle w:val="14"/>
          <w:rFonts w:hint="default" w:ascii="Times New Roman" w:hAnsi="Times New Roman" w:cs="Times New Roman"/>
        </w:rPr>
        <w:t>[</w:t>
      </w:r>
      <w:r>
        <w:rPr>
          <w:rStyle w:val="14"/>
          <w:rFonts w:hint="default" w:ascii="Times New Roman" w:hAnsi="Times New Roman" w:cs="Times New Roman"/>
        </w:rPr>
        <w:footnoteRef/>
      </w:r>
      <w:r>
        <w:rPr>
          <w:rStyle w:val="14"/>
          <w:rFonts w:hint="default" w:ascii="Times New Roman" w:hAnsi="Times New Roman" w:cs="Times New Roman"/>
        </w:rPr>
        <w:t>]</w:t>
      </w:r>
      <w:r>
        <w:rPr>
          <w:rFonts w:hint="default" w:ascii="Times New Roman" w:hAnsi="Times New Roman" w:cs="Times New Roman"/>
        </w:rPr>
        <w:t xml:space="preserve"> </w:t>
      </w:r>
      <w:r>
        <w:rPr>
          <w:rFonts w:hint="default" w:ascii="Times New Roman" w:hAnsi="Times New Roman" w:cs="Times New Roman"/>
          <w:lang w:val="en-US" w:eastAsia="zh-CN"/>
        </w:rPr>
        <w:t>信息来源：《预算单位额度执行情况表(含退款)-2026.1.15》《2025年度〈东莞松山湖科技赋能产业高质量发展实施办法〉资助单位名单》等材料。</w:t>
      </w:r>
    </w:p>
  </w:footnote>
  <w:footnote w:id="2">
    <w:p>
      <w:pPr>
        <w:pStyle w:val="8"/>
        <w:spacing w:beforeLines="0" w:afterLines="0"/>
        <w:rPr>
          <w:rFonts w:hint="default" w:ascii="Times New Roman" w:hAnsi="Times New Roman" w:cs="Times New Roman"/>
          <w:sz w:val="18"/>
          <w:szCs w:val="18"/>
        </w:rPr>
      </w:pPr>
      <w:r>
        <w:rPr>
          <w:rStyle w:val="14"/>
          <w:rFonts w:hint="default" w:ascii="Times New Roman" w:hAnsi="Times New Roman" w:eastAsia="宋体" w:cs="Times New Roman"/>
          <w:sz w:val="18"/>
          <w:szCs w:val="18"/>
        </w:rPr>
        <w:t>[</w:t>
      </w:r>
      <w:r>
        <w:rPr>
          <w:rStyle w:val="14"/>
          <w:rFonts w:hint="default" w:ascii="Times New Roman" w:hAnsi="Times New Roman" w:eastAsia="宋体" w:cs="Times New Roman"/>
          <w:sz w:val="18"/>
          <w:szCs w:val="18"/>
        </w:rPr>
        <w:footnoteRef/>
      </w:r>
      <w:r>
        <w:rPr>
          <w:rStyle w:val="14"/>
          <w:rFonts w:hint="default" w:ascii="Times New Roman" w:hAnsi="Times New Roman" w:eastAsia="宋体" w:cs="Times New Roman"/>
          <w:sz w:val="18"/>
          <w:szCs w:val="18"/>
        </w:rPr>
        <w:t>]</w:t>
      </w:r>
      <w:r>
        <w:rPr>
          <w:rFonts w:hint="default" w:ascii="Times New Roman" w:hAnsi="Times New Roman" w:cs="Times New Roman"/>
          <w:sz w:val="18"/>
          <w:szCs w:val="18"/>
        </w:rPr>
        <w:t xml:space="preserve"> </w:t>
      </w:r>
      <w:r>
        <w:rPr>
          <w:rFonts w:hint="default" w:ascii="Times New Roman" w:hAnsi="Times New Roman" w:eastAsia="宋体" w:cs="Times New Roman"/>
          <w:sz w:val="18"/>
          <w:szCs w:val="18"/>
        </w:rPr>
        <w:t>信息来源：松山湖科技创新局2026年6月提供《关于拨付2025年度〈东莞松山湖科技赋能产业高质量发展实施办法〉资助资金的请示》（松科创〔2026〕13号）、《关于下达2025年度〈东莞松山湖科技赋能产业高质量发展实施办法〉资助资金的通知》（松科创发〔2026〕16号）等</w:t>
      </w:r>
      <w:r>
        <w:rPr>
          <w:rFonts w:hint="default" w:ascii="Times New Roman" w:hAnsi="Times New Roman" w:eastAsia="宋体" w:cs="Times New Roman"/>
          <w:sz w:val="18"/>
          <w:szCs w:val="18"/>
          <w:lang w:val="en-US" w:eastAsia="zh-CN"/>
        </w:rPr>
        <w:t>材料</w:t>
      </w:r>
      <w:r>
        <w:rPr>
          <w:rFonts w:hint="default" w:ascii="Times New Roman" w:hAnsi="Times New Roman" w:eastAsia="宋体" w:cs="Times New Roman"/>
          <w:sz w:val="18"/>
          <w:szCs w:val="18"/>
        </w:rPr>
        <w:t>。</w:t>
      </w:r>
    </w:p>
  </w:footnote>
  <w:footnote w:id="3">
    <w:p>
      <w:pPr>
        <w:pStyle w:val="8"/>
        <w:snapToGrid w:val="0"/>
        <w:rPr>
          <w:rFonts w:hint="default" w:ascii="Times New Roman" w:hAnsi="Times New Roman" w:eastAsia="宋体" w:cs="Times New Roman"/>
          <w:lang w:val="en-US" w:eastAsia="zh-CN"/>
        </w:rPr>
      </w:pPr>
      <w:r>
        <w:rPr>
          <w:rStyle w:val="14"/>
          <w:rFonts w:hint="default" w:ascii="Times New Roman" w:hAnsi="Times New Roman" w:cs="Times New Roman"/>
        </w:rPr>
        <w:t>[</w:t>
      </w:r>
      <w:r>
        <w:rPr>
          <w:rStyle w:val="14"/>
          <w:rFonts w:hint="default" w:ascii="Times New Roman" w:hAnsi="Times New Roman" w:cs="Times New Roman"/>
        </w:rPr>
        <w:footnoteRef/>
      </w:r>
      <w:r>
        <w:rPr>
          <w:rStyle w:val="14"/>
          <w:rFonts w:hint="default" w:ascii="Times New Roman" w:hAnsi="Times New Roman" w:cs="Times New Roman"/>
        </w:rPr>
        <w:t>]</w:t>
      </w:r>
      <w:r>
        <w:rPr>
          <w:rFonts w:hint="default" w:ascii="Times New Roman" w:hAnsi="Times New Roman" w:cs="Times New Roman"/>
        </w:rPr>
        <w:t xml:space="preserve"> </w:t>
      </w:r>
      <w:r>
        <w:rPr>
          <w:rFonts w:hint="default" w:ascii="Times New Roman" w:hAnsi="Times New Roman" w:eastAsia="宋体" w:cs="Times New Roman"/>
          <w:sz w:val="18"/>
          <w:szCs w:val="18"/>
        </w:rPr>
        <w:t>信息来源：松山湖科技创新局2026年6月提供《关于拨付2025年度〈东莞松山湖科技赋能产业高质量发展实施办法〉资助资金的请示》（松科创〔2026〕13号）、《关于下达2025年度〈东莞松山湖科技赋能产业高质量发展实施办法〉资助资金的通知》（松科创发〔2026〕16号）</w:t>
      </w:r>
      <w:r>
        <w:rPr>
          <w:rFonts w:hint="default" w:ascii="Times New Roman" w:hAnsi="Times New Roman" w:eastAsia="宋体" w:cs="Times New Roman"/>
          <w:sz w:val="18"/>
          <w:szCs w:val="18"/>
          <w:lang w:eastAsia="zh-CN"/>
        </w:rPr>
        <w:t>、《2025年度〈东莞松山湖科技赋能产业高质量发展实施办法〉资助单位名单》</w:t>
      </w:r>
      <w:r>
        <w:rPr>
          <w:rFonts w:hint="default" w:ascii="Times New Roman" w:hAnsi="Times New Roman" w:eastAsia="宋体" w:cs="Times New Roman"/>
          <w:sz w:val="18"/>
          <w:szCs w:val="18"/>
        </w:rPr>
        <w:t>等</w:t>
      </w:r>
      <w:r>
        <w:rPr>
          <w:rFonts w:hint="default" w:ascii="Times New Roman" w:hAnsi="Times New Roman" w:eastAsia="宋体" w:cs="Times New Roman"/>
          <w:sz w:val="18"/>
          <w:szCs w:val="18"/>
          <w:lang w:val="en-US" w:eastAsia="zh-CN"/>
        </w:rPr>
        <w:t>材料。</w:t>
      </w:r>
    </w:p>
  </w:footnote>
  <w:footnote w:id="4">
    <w:p>
      <w:pPr>
        <w:pStyle w:val="8"/>
        <w:snapToGrid w:val="0"/>
        <w:rPr>
          <w:rFonts w:hint="default" w:ascii="Times New Roman" w:hAnsi="Times New Roman" w:cs="Times New Roman" w:eastAsiaTheme="minorEastAsia"/>
          <w:lang w:val="en-US" w:eastAsia="zh-CN"/>
        </w:rPr>
      </w:pPr>
      <w:r>
        <w:rPr>
          <w:rStyle w:val="14"/>
          <w:rFonts w:hint="default" w:ascii="Times New Roman" w:hAnsi="Times New Roman" w:cs="Times New Roman"/>
        </w:rPr>
        <w:t>[</w:t>
      </w:r>
      <w:r>
        <w:rPr>
          <w:rStyle w:val="14"/>
          <w:rFonts w:hint="default" w:ascii="Times New Roman" w:hAnsi="Times New Roman" w:cs="Times New Roman"/>
        </w:rPr>
        <w:footnoteRef/>
      </w:r>
      <w:r>
        <w:rPr>
          <w:rStyle w:val="14"/>
          <w:rFonts w:hint="default" w:ascii="Times New Roman" w:hAnsi="Times New Roman" w:cs="Times New Roman"/>
        </w:rPr>
        <w:t>]</w:t>
      </w:r>
      <w:r>
        <w:rPr>
          <w:rFonts w:hint="default" w:ascii="Times New Roman" w:hAnsi="Times New Roman" w:cs="Times New Roman"/>
          <w:lang w:val="en-US" w:eastAsia="zh-CN"/>
        </w:rPr>
        <w:t>说明：此图统计数据包含：年度</w:t>
      </w:r>
      <w:r>
        <w:rPr>
          <w:rFonts w:hint="default" w:ascii="Times New Roman" w:hAnsi="Times New Roman" w:cs="Times New Roman"/>
        </w:rPr>
        <w:t>技术开发、技术转让和技术许可合同技术交易额</w:t>
      </w:r>
      <w:r>
        <w:rPr>
          <w:rFonts w:hint="default" w:ascii="Times New Roman" w:hAnsi="Times New Roman" w:cs="Times New Roman"/>
          <w:lang w:val="en-US" w:eastAsia="zh-CN"/>
        </w:rPr>
        <w:t>完成情况。</w:t>
      </w:r>
    </w:p>
  </w:footnote>
  <w:footnote w:id="5">
    <w:p>
      <w:pPr>
        <w:pStyle w:val="8"/>
        <w:snapToGrid w:val="0"/>
        <w:rPr>
          <w:rFonts w:hint="default" w:ascii="Times New Roman" w:hAnsi="Times New Roman" w:cs="Times New Roman" w:eastAsiaTheme="minorEastAsia"/>
          <w:lang w:val="en-US" w:eastAsia="zh-CN"/>
        </w:rPr>
      </w:pPr>
      <w:r>
        <w:rPr>
          <w:rStyle w:val="14"/>
          <w:rFonts w:hint="default" w:ascii="Times New Roman" w:hAnsi="Times New Roman" w:cs="Times New Roman"/>
        </w:rPr>
        <w:t>[</w:t>
      </w:r>
      <w:r>
        <w:rPr>
          <w:rStyle w:val="14"/>
          <w:rFonts w:hint="default" w:ascii="Times New Roman" w:hAnsi="Times New Roman" w:cs="Times New Roman"/>
        </w:rPr>
        <w:footnoteRef/>
      </w:r>
      <w:r>
        <w:rPr>
          <w:rStyle w:val="14"/>
          <w:rFonts w:hint="default" w:ascii="Times New Roman" w:hAnsi="Times New Roman" w:cs="Times New Roman"/>
        </w:rPr>
        <w:t>]</w:t>
      </w:r>
      <w:r>
        <w:rPr>
          <w:rFonts w:hint="default" w:ascii="Times New Roman" w:hAnsi="Times New Roman" w:cs="Times New Roman"/>
        </w:rPr>
        <w:t xml:space="preserve"> </w:t>
      </w:r>
      <w:r>
        <w:rPr>
          <w:rFonts w:hint="default" w:ascii="Times New Roman" w:hAnsi="Times New Roman" w:cs="Times New Roman"/>
          <w:lang w:val="en-US" w:eastAsia="zh-CN"/>
        </w:rPr>
        <w:t>信息来源：松山湖科技创新局提供的《</w:t>
      </w:r>
      <w:r>
        <w:rPr>
          <w:rFonts w:hint="default" w:ascii="Times New Roman" w:hAnsi="Times New Roman" w:cs="Times New Roman"/>
        </w:rPr>
        <w:t>2025年度申报阵地科普活动覆盖人数统计</w:t>
      </w:r>
      <w:r>
        <w:rPr>
          <w:rFonts w:hint="default" w:ascii="Times New Roman" w:hAnsi="Times New Roman" w:cs="Times New Roman"/>
          <w:lang w:val="en-US" w:eastAsia="zh-CN"/>
        </w:rPr>
        <w:t>表》等材料。</w:t>
      </w:r>
    </w:p>
  </w:footnote>
  <w:footnote w:id="6">
    <w:p>
      <w:pPr>
        <w:pStyle w:val="8"/>
        <w:snapToGrid w:val="0"/>
        <w:jc w:val="both"/>
        <w:rPr>
          <w:rFonts w:hint="eastAsia" w:ascii="Times New Roman" w:hAnsi="Times New Roman" w:cs="Times New Roman"/>
          <w:lang w:val="en-US" w:eastAsia="zh-CN"/>
        </w:rPr>
      </w:pPr>
      <w:r>
        <w:rPr>
          <w:rStyle w:val="14"/>
          <w:rFonts w:hint="default" w:ascii="Times New Roman" w:hAnsi="Times New Roman" w:cs="Times New Roman"/>
        </w:rPr>
        <w:t>[</w:t>
      </w:r>
      <w:r>
        <w:rPr>
          <w:rStyle w:val="14"/>
          <w:rFonts w:hint="default" w:ascii="Times New Roman" w:hAnsi="Times New Roman" w:cs="Times New Roman"/>
        </w:rPr>
        <w:footnoteRef/>
      </w:r>
      <w:r>
        <w:rPr>
          <w:rStyle w:val="14"/>
          <w:rFonts w:hint="default" w:ascii="Times New Roman" w:hAnsi="Times New Roman" w:cs="Times New Roman"/>
        </w:rPr>
        <w:t>]</w:t>
      </w:r>
      <w:r>
        <w:rPr>
          <w:rFonts w:hint="default" w:ascii="Times New Roman" w:hAnsi="Times New Roman" w:cs="Times New Roman"/>
        </w:rPr>
        <w:t xml:space="preserve"> </w:t>
      </w:r>
      <w:r>
        <w:rPr>
          <w:rFonts w:hint="default" w:ascii="Times New Roman" w:hAnsi="Times New Roman" w:cs="Times New Roman"/>
          <w:lang w:val="en-US" w:eastAsia="zh-CN"/>
        </w:rPr>
        <w:t>说明：</w:t>
      </w:r>
      <w:r>
        <w:rPr>
          <w:rFonts w:hint="eastAsia" w:ascii="Times New Roman" w:hAnsi="Times New Roman" w:cs="Times New Roman"/>
          <w:lang w:val="en-US" w:eastAsia="zh-CN"/>
        </w:rPr>
        <w:t>2025年9月9日，</w:t>
      </w:r>
      <w:r>
        <w:rPr>
          <w:rFonts w:hint="eastAsia" w:ascii="Times New Roman" w:hAnsi="Times New Roman" w:cs="Times New Roman"/>
        </w:rPr>
        <w:t>东莞市发展和改革局 东莞市工业和信息化局2025年5月出台的《东莞市概念验证及中试服务平台建设运行管理实施细则（试行）》</w:t>
      </w:r>
      <w:r>
        <w:rPr>
          <w:rFonts w:hint="eastAsia" w:ascii="Times New Roman" w:hAnsi="Times New Roman" w:cs="Times New Roman"/>
          <w:lang w:val="en-US" w:eastAsia="zh-CN"/>
        </w:rPr>
        <w:t>，</w:t>
      </w:r>
      <w:r>
        <w:rPr>
          <w:rFonts w:hint="eastAsia" w:ascii="Times New Roman" w:hAnsi="Times New Roman" w:cs="Times New Roman"/>
        </w:rPr>
        <w:t>第二十三条 对概念验证中心和中试平台在莞进行科研仪器设备更新升级和国产化替代的，按照新购置设备原值不超过20%给予事后奖励。每家概念验证中心和中试平台年度周期内获得奖励金额不超过500万元。第二十四条 概念验证中心和中试平台在莞获得国家级、省级的概念验证中心或中试平台（或相似称号的）认定的，按国家级和省级分别给予最高 300 万元、100 万元奖励。上级有配套规定的按就高不重复原则执行。</w:t>
      </w:r>
    </w:p>
    <w:p>
      <w:pPr>
        <w:pStyle w:val="8"/>
        <w:snapToGrid w:val="0"/>
        <w:jc w:val="both"/>
        <w:rPr>
          <w:rFonts w:hint="eastAsia" w:ascii="Times New Roman" w:hAnsi="Times New Roman" w:cs="Times New Roman" w:eastAsiaTheme="minorEastAsia"/>
          <w:lang w:val="en-US" w:eastAsia="zh-CN"/>
        </w:rPr>
      </w:pPr>
      <w:r>
        <w:rPr>
          <w:rFonts w:hint="eastAsia" w:ascii="Times New Roman" w:hAnsi="Times New Roman" w:cs="Times New Roman"/>
          <w:lang w:val="en-US" w:eastAsia="zh-CN"/>
        </w:rPr>
        <w:t>信息链接：</w:t>
      </w:r>
      <w:r>
        <w:rPr>
          <w:rFonts w:hint="eastAsia" w:ascii="Times New Roman" w:hAnsi="Times New Roman" w:cs="Times New Roman"/>
        </w:rPr>
        <w:t>http://dgstb.dg.gov.cn/gkmlpt/content/4/4435/post_4435661.html#74</w:t>
      </w:r>
      <w:r>
        <w:rPr>
          <w:rFonts w:hint="eastAsia" w:ascii="Times New Roman" w:hAnsi="Times New Roman" w:cs="Times New Roman"/>
          <w:lang w:eastAsia="zh-CN"/>
        </w:rPr>
        <w:t>。</w:t>
      </w:r>
    </w:p>
  </w:footnote>
  <w:footnote w:id="7">
    <w:p>
      <w:pPr>
        <w:pStyle w:val="8"/>
        <w:snapToGrid w:val="0"/>
        <w:rPr>
          <w:rFonts w:hint="default" w:ascii="Times New Roman" w:hAnsi="Times New Roman" w:cs="Times New Roman" w:eastAsiaTheme="minorEastAsia"/>
          <w:lang w:val="en-US" w:eastAsia="zh-CN"/>
        </w:rPr>
      </w:pPr>
      <w:r>
        <w:rPr>
          <w:rStyle w:val="14"/>
          <w:rFonts w:hint="default" w:ascii="Times New Roman" w:hAnsi="Times New Roman" w:cs="Times New Roman"/>
        </w:rPr>
        <w:t>[</w:t>
      </w:r>
      <w:r>
        <w:rPr>
          <w:rStyle w:val="14"/>
          <w:rFonts w:hint="default" w:ascii="Times New Roman" w:hAnsi="Times New Roman" w:cs="Times New Roman"/>
        </w:rPr>
        <w:footnoteRef/>
      </w:r>
      <w:r>
        <w:rPr>
          <w:rStyle w:val="14"/>
          <w:rFonts w:hint="default" w:ascii="Times New Roman" w:hAnsi="Times New Roman" w:cs="Times New Roman"/>
        </w:rPr>
        <w:t>]</w:t>
      </w:r>
      <w:r>
        <w:rPr>
          <w:rFonts w:hint="default" w:ascii="Times New Roman" w:hAnsi="Times New Roman" w:cs="Times New Roman"/>
        </w:rPr>
        <w:t xml:space="preserve"> </w:t>
      </w:r>
      <w:r>
        <w:rPr>
          <w:rFonts w:hint="default" w:ascii="Times New Roman" w:hAnsi="Times New Roman" w:cs="Times New Roman"/>
          <w:lang w:val="en-US" w:eastAsia="zh-CN"/>
        </w:rPr>
        <w:t>说明：根据现场座谈了解，东莞市松山湖、长安镇现有高新技术企业存量相近，分别：750家、</w:t>
      </w:r>
      <w:r>
        <w:rPr>
          <w:rFonts w:hint="eastAsia" w:ascii="Times New Roman" w:hAnsi="Times New Roman" w:cs="Times New Roman"/>
          <w:lang w:val="en-US" w:eastAsia="zh-CN"/>
        </w:rPr>
        <w:t>815</w:t>
      </w:r>
      <w:r>
        <w:rPr>
          <w:rFonts w:hint="default" w:ascii="Times New Roman" w:hAnsi="Times New Roman" w:cs="Times New Roman"/>
          <w:lang w:val="en-US" w:eastAsia="zh-CN"/>
        </w:rPr>
        <w:t>家</w:t>
      </w:r>
      <w:r>
        <w:rPr>
          <w:rFonts w:hint="eastAsia" w:ascii="Times New Roman" w:hAnsi="Times New Roman" w:cs="Times New Roman"/>
          <w:lang w:val="en-US" w:eastAsia="zh-CN"/>
        </w:rPr>
        <w:t>（信息来源：东莞市长安镇政府工作报告（2026年3月6日在长安镇第十八届人民代表大会第十一次会议上），信息链接：</w:t>
      </w:r>
      <w:r>
        <w:rPr>
          <w:rFonts w:hint="eastAsia" w:ascii="Times New Roman" w:hAnsi="Times New Roman" w:cs="Times New Roman"/>
          <w:lang w:val="en-US" w:eastAsia="zh-CN"/>
        </w:rPr>
        <w:fldChar w:fldCharType="begin"/>
      </w:r>
      <w:r>
        <w:rPr>
          <w:rFonts w:hint="eastAsia" w:ascii="Times New Roman" w:hAnsi="Times New Roman" w:cs="Times New Roman"/>
          <w:lang w:val="en-US" w:eastAsia="zh-CN"/>
        </w:rPr>
        <w:instrText xml:space="preserve"> HYPERLINK "https://www.dg.gov.cn/dgcaz/attachment/0/401/401202/4515581.pdf" </w:instrText>
      </w:r>
      <w:r>
        <w:rPr>
          <w:rFonts w:hint="eastAsia" w:ascii="Times New Roman" w:hAnsi="Times New Roman" w:cs="Times New Roman"/>
          <w:lang w:val="en-US" w:eastAsia="zh-CN"/>
        </w:rPr>
        <w:fldChar w:fldCharType="separate"/>
      </w:r>
      <w:r>
        <w:rPr>
          <w:rStyle w:val="13"/>
          <w:rFonts w:hint="eastAsia" w:ascii="Times New Roman" w:hAnsi="Times New Roman" w:cs="Times New Roman"/>
          <w:lang w:val="en-US" w:eastAsia="zh-CN"/>
        </w:rPr>
        <w:t>https://www.dg.gov.cn/dgcaz/attachment/0/401/401202/4515581.pdf</w:t>
      </w:r>
      <w:r>
        <w:rPr>
          <w:rFonts w:hint="eastAsia" w:ascii="Times New Roman" w:hAnsi="Times New Roman" w:cs="Times New Roman"/>
          <w:lang w:val="en-US" w:eastAsia="zh-CN"/>
        </w:rPr>
        <w:fldChar w:fldCharType="end"/>
      </w:r>
      <w:r>
        <w:rPr>
          <w:rFonts w:hint="eastAsia" w:ascii="Times New Roman" w:hAnsi="Times New Roman" w:cs="Times New Roman"/>
          <w:lang w:val="en-US" w:eastAsia="zh-CN"/>
        </w:rPr>
        <w:t>）</w:t>
      </w:r>
      <w:r>
        <w:rPr>
          <w:rFonts w:hint="default" w:ascii="Times New Roman" w:hAnsi="Times New Roman" w:cs="Times New Roman"/>
          <w:lang w:val="en-US" w:eastAsia="zh-CN"/>
        </w:rPr>
        <w:t>，可作为高新技术企业认定政策对比依据。</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6"/>
    <w:footnote w:id="17"/>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07476C"/>
    <w:rsid w:val="082B4838"/>
    <w:rsid w:val="0ABE1948"/>
    <w:rsid w:val="0DB61B4C"/>
    <w:rsid w:val="0ED870FC"/>
    <w:rsid w:val="105E242E"/>
    <w:rsid w:val="17432A07"/>
    <w:rsid w:val="1D0A73B1"/>
    <w:rsid w:val="20254044"/>
    <w:rsid w:val="245912DC"/>
    <w:rsid w:val="254E5828"/>
    <w:rsid w:val="2B8E639A"/>
    <w:rsid w:val="2BDF7F79"/>
    <w:rsid w:val="2E964AF6"/>
    <w:rsid w:val="2F7610B3"/>
    <w:rsid w:val="316114AE"/>
    <w:rsid w:val="32C56383"/>
    <w:rsid w:val="367B798B"/>
    <w:rsid w:val="39FC60C7"/>
    <w:rsid w:val="3B902A4C"/>
    <w:rsid w:val="3C34559C"/>
    <w:rsid w:val="3F690E6D"/>
    <w:rsid w:val="421F2056"/>
    <w:rsid w:val="43890D97"/>
    <w:rsid w:val="46274229"/>
    <w:rsid w:val="47771E2A"/>
    <w:rsid w:val="4A175D06"/>
    <w:rsid w:val="4A27403D"/>
    <w:rsid w:val="56FC4A90"/>
    <w:rsid w:val="593F799D"/>
    <w:rsid w:val="59576FB6"/>
    <w:rsid w:val="5BEA47CE"/>
    <w:rsid w:val="5FB57898"/>
    <w:rsid w:val="6D975A88"/>
    <w:rsid w:val="6F423B52"/>
    <w:rsid w:val="70DB5D1D"/>
    <w:rsid w:val="719077A4"/>
    <w:rsid w:val="71C965DB"/>
    <w:rsid w:val="74E11361"/>
    <w:rsid w:val="759B1F7B"/>
    <w:rsid w:val="781E7A0C"/>
    <w:rsid w:val="78427ED3"/>
    <w:rsid w:val="7A8202EB"/>
    <w:rsid w:val="7B8C62EE"/>
    <w:rsid w:val="7D9A2105"/>
    <w:rsid w:val="7DF63D1D"/>
    <w:rsid w:val="FDE1E3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Lines="0" w:beforeAutospacing="0" w:afterLines="0" w:afterAutospacing="0" w:line="560" w:lineRule="exact"/>
      <w:outlineLvl w:val="0"/>
    </w:pPr>
    <w:rPr>
      <w:rFonts w:eastAsia="黑体"/>
      <w:kern w:val="4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lock Text"/>
    <w:basedOn w:val="1"/>
    <w:qFormat/>
    <w:uiPriority w:val="0"/>
    <w:pPr>
      <w:spacing w:after="120"/>
      <w:ind w:left="1440" w:leftChars="700" w:right="1440" w:rightChars="700"/>
    </w:p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footnote text"/>
    <w:basedOn w:val="1"/>
    <w:qFormat/>
    <w:uiPriority w:val="0"/>
    <w:pPr>
      <w:snapToGrid w:val="0"/>
      <w:jc w:val="left"/>
    </w:pPr>
    <w:rPr>
      <w:sz w:val="18"/>
      <w:szCs w:val="18"/>
    </w:rPr>
  </w:style>
  <w:style w:type="paragraph" w:styleId="9">
    <w:name w:val="toc 2"/>
    <w:basedOn w:val="1"/>
    <w:next w:val="1"/>
    <w:qFormat/>
    <w:uiPriority w:val="0"/>
    <w:pPr>
      <w:ind w:left="420" w:leftChars="200"/>
    </w:pPr>
  </w:style>
  <w:style w:type="character" w:styleId="12">
    <w:name w:val="page number"/>
    <w:unhideWhenUsed/>
    <w:qFormat/>
    <w:uiPriority w:val="0"/>
    <w:rPr>
      <w:rFonts w:hint="default"/>
      <w:sz w:val="24"/>
      <w:szCs w:val="24"/>
    </w:rPr>
  </w:style>
  <w:style w:type="character" w:styleId="13">
    <w:name w:val="Hyperlink"/>
    <w:basedOn w:val="11"/>
    <w:qFormat/>
    <w:uiPriority w:val="0"/>
    <w:rPr>
      <w:color w:val="0000FF"/>
      <w:u w:val="single"/>
    </w:rPr>
  </w:style>
  <w:style w:type="character" w:styleId="14">
    <w:name w:val="footnote reference"/>
    <w:qFormat/>
    <w:uiPriority w:val="0"/>
    <w:rPr>
      <w:vertAlign w:val="superscript"/>
    </w:rPr>
  </w:style>
  <w:style w:type="paragraph" w:customStyle="1" w:styleId="15">
    <w:name w:val="一级标题格式"/>
    <w:basedOn w:val="1"/>
    <w:qFormat/>
    <w:uiPriority w:val="0"/>
    <w:pPr>
      <w:spacing w:line="360" w:lineRule="auto"/>
      <w:ind w:firstLine="420" w:firstLineChars="200"/>
      <w:outlineLvl w:val="0"/>
    </w:pPr>
    <w:rPr>
      <w:rFonts w:ascii="Times New Roman" w:hAnsi="Times New Roman" w:eastAsia="黑体"/>
      <w:sz w:val="32"/>
    </w:rPr>
  </w:style>
  <w:style w:type="paragraph" w:customStyle="1" w:styleId="16">
    <w:name w:val="二级标题格式"/>
    <w:basedOn w:val="1"/>
    <w:qFormat/>
    <w:uiPriority w:val="0"/>
    <w:pPr>
      <w:spacing w:line="360" w:lineRule="auto"/>
      <w:ind w:firstLine="420" w:firstLineChars="200"/>
      <w:outlineLvl w:val="1"/>
    </w:pPr>
    <w:rPr>
      <w:rFonts w:eastAsia="楷体_GB2312" w:asciiTheme="minorAscii" w:hAnsiTheme="minorAscii"/>
      <w:b/>
      <w:sz w:val="32"/>
    </w:rPr>
  </w:style>
  <w:style w:type="paragraph" w:customStyle="1" w:styleId="17">
    <w:name w:val="正文格式"/>
    <w:basedOn w:val="1"/>
    <w:qFormat/>
    <w:uiPriority w:val="0"/>
    <w:pPr>
      <w:spacing w:line="360" w:lineRule="auto"/>
      <w:ind w:firstLine="420" w:firstLineChars="200"/>
    </w:pPr>
    <w:rPr>
      <w:rFonts w:ascii="Times New Roman" w:hAnsi="Times New Roman" w:eastAsia="仿宋_GB2312"/>
      <w:sz w:val="32"/>
    </w:rPr>
  </w:style>
  <w:style w:type="paragraph" w:customStyle="1" w:styleId="18">
    <w:name w:val="三级标题格式"/>
    <w:basedOn w:val="1"/>
    <w:qFormat/>
    <w:uiPriority w:val="0"/>
    <w:pPr>
      <w:spacing w:line="360" w:lineRule="auto"/>
      <w:ind w:firstLine="420" w:firstLineChars="200"/>
      <w:outlineLvl w:val="2"/>
    </w:pPr>
    <w:rPr>
      <w:rFonts w:ascii="Times New Roman" w:hAnsi="Times New Roman" w:eastAsia="仿宋_GB2312"/>
      <w:b/>
      <w:sz w:val="32"/>
    </w:rPr>
  </w:style>
  <w:style w:type="paragraph" w:customStyle="1" w:styleId="19">
    <w:name w:val="表格标题"/>
    <w:basedOn w:val="1"/>
    <w:qFormat/>
    <w:uiPriority w:val="0"/>
    <w:pPr>
      <w:spacing w:before="100" w:beforeLines="100" w:afterLines="0" w:line="360" w:lineRule="auto"/>
      <w:jc w:val="center"/>
      <w:outlineLvl w:val="3"/>
    </w:pPr>
    <w:rPr>
      <w:rFonts w:ascii="Times New Roman" w:hAnsi="Times New Roman" w:eastAsia="黑体" w:cs="Times New Roman"/>
      <w:color w:val="000000"/>
      <w:sz w:val="28"/>
      <w:szCs w:val="28"/>
    </w:rPr>
  </w:style>
  <w:style w:type="character" w:customStyle="1" w:styleId="20">
    <w:name w:val="font01"/>
    <w:basedOn w:val="11"/>
    <w:qFormat/>
    <w:uiPriority w:val="0"/>
    <w:rPr>
      <w:rFonts w:hint="eastAsia" w:ascii="宋体" w:hAnsi="宋体" w:eastAsia="宋体" w:cs="宋体"/>
      <w:color w:val="000000"/>
      <w:sz w:val="22"/>
      <w:szCs w:val="22"/>
      <w:u w:val="none"/>
    </w:rPr>
  </w:style>
  <w:style w:type="character" w:customStyle="1" w:styleId="21">
    <w:name w:val="font11"/>
    <w:basedOn w:val="11"/>
    <w:qFormat/>
    <w:uiPriority w:val="0"/>
    <w:rPr>
      <w:rFonts w:hint="default" w:ascii="Times New Roman" w:hAnsi="Times New Roman" w:cs="Times New Roman"/>
      <w:color w:val="000000"/>
      <w:sz w:val="22"/>
      <w:szCs w:val="22"/>
      <w:u w:val="none"/>
    </w:rPr>
  </w:style>
  <w:style w:type="character" w:customStyle="1" w:styleId="22">
    <w:name w:val="font51"/>
    <w:basedOn w:val="11"/>
    <w:qFormat/>
    <w:uiPriority w:val="0"/>
    <w:rPr>
      <w:rFonts w:hint="eastAsia" w:ascii="宋体" w:hAnsi="宋体" w:eastAsia="宋体" w:cs="宋体"/>
      <w:color w:val="000000"/>
      <w:sz w:val="22"/>
      <w:szCs w:val="22"/>
      <w:u w:val="none"/>
    </w:rPr>
  </w:style>
  <w:style w:type="paragraph" w:customStyle="1" w:styleId="23">
    <w:name w:val="正文内容格式"/>
    <w:basedOn w:val="1"/>
    <w:unhideWhenUsed/>
    <w:qFormat/>
    <w:uiPriority w:val="0"/>
    <w:pPr>
      <w:spacing w:line="360" w:lineRule="auto"/>
      <w:ind w:firstLine="880" w:firstLineChars="200"/>
    </w:pPr>
    <w:rPr>
      <w:rFonts w:hint="eastAsia" w:cs="方正小标宋简体"/>
      <w:color w:val="000000"/>
      <w:sz w:val="32"/>
      <w:szCs w:val="44"/>
    </w:rPr>
  </w:style>
  <w:style w:type="character" w:customStyle="1" w:styleId="24">
    <w:name w:val="font31"/>
    <w:basedOn w:val="11"/>
    <w:qFormat/>
    <w:uiPriority w:val="0"/>
    <w:rPr>
      <w:rFonts w:hint="eastAsia" w:ascii="宋体" w:hAnsi="宋体" w:eastAsia="宋体" w:cs="宋体"/>
      <w:b/>
      <w:bCs/>
      <w:color w:val="000000"/>
      <w:sz w:val="22"/>
      <w:szCs w:val="22"/>
      <w:u w:val="none"/>
    </w:rPr>
  </w:style>
  <w:style w:type="paragraph" w:customStyle="1" w:styleId="25">
    <w:name w:val="图标题格式"/>
    <w:basedOn w:val="1"/>
    <w:qFormat/>
    <w:uiPriority w:val="0"/>
    <w:pPr>
      <w:spacing w:after="100" w:afterLines="100" w:line="360" w:lineRule="auto"/>
      <w:ind w:firstLine="0" w:firstLineChars="0"/>
      <w:jc w:val="center"/>
      <w:outlineLvl w:val="3"/>
    </w:pPr>
    <w:rPr>
      <w:rFonts w:hint="eastAsia" w:ascii="Times New Roman" w:hAnsi="Times New Roman" w:eastAsia="黑体"/>
      <w:sz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F:\2026&#24180;&#39033;&#30446;&#36164;&#26009;\&#19968;&#12289;&#39033;&#30446;&#31867;\2025&#24180;&#32467;&#36716;&#26410;&#23436;&#32467;&#39033;&#30446;-15.&#19996;&#33694;&#26494;&#23665;&#28246;&#20840;&#36807;&#31243;&#32489;&#25928;&#31649;&#29702;&#39033;&#30446;\0.&#24037;&#20316;&#25104;&#26524;\2026&#24180;&#20013;&#26399;&#32489;&#25928;&#35780;&#20215;&#25253;&#21578;&#21644;&#25968;&#25454;\20260810&#29579;&#20462;-&#25253;&#21578;&#21644;&#25968;&#25454;\20260810&#29579;&#20462;-&#32489;&#25928;&#35780;&#20215;&#25253;&#21578;&#21644;&#25968;&#2545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F:\2026&#24180;&#39033;&#30446;&#36164;&#26009;\&#19968;&#12289;&#39033;&#30446;&#31867;\2025&#24180;&#32467;&#36716;&#26410;&#23436;&#32467;&#39033;&#30446;-15.&#19996;&#33694;&#26494;&#23665;&#28246;&#20840;&#36807;&#31243;&#32489;&#25928;&#31649;&#29702;&#39033;&#30446;\0.&#24037;&#20316;&#25104;&#26524;\2026&#24180;&#20013;&#26399;&#32489;&#25928;&#35780;&#20215;&#25253;&#21578;&#21644;&#25968;&#25454;\20260810&#29579;&#20462;-&#25253;&#21578;&#21644;&#25968;&#25454;\20260810&#29579;&#20462;-&#32489;&#25928;&#35780;&#20215;&#25253;&#21578;&#21644;&#25968;&#25454;.xlsx"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F:\2026&#24180;&#39033;&#30446;&#36164;&#26009;\&#19968;&#12289;&#39033;&#30446;&#31867;\2025&#24180;&#32467;&#36716;&#26410;&#23436;&#32467;&#39033;&#30446;-15.&#19996;&#33694;&#26494;&#23665;&#28246;&#20840;&#36807;&#31243;&#32489;&#25928;&#31649;&#29702;&#39033;&#30446;\0.&#24037;&#20316;&#25104;&#26524;\2026&#24180;&#20013;&#26399;&#32489;&#25928;&#35780;&#20215;&#25253;&#21578;&#21644;&#25968;&#25454;\20260810&#29579;&#20462;-&#25253;&#21578;&#21644;&#25968;&#25454;\20260810&#29579;&#20462;-&#32489;&#25928;&#35780;&#20215;&#25253;&#21578;&#21644;&#25968;&#25454;.xlsx"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F:\2026&#24180;&#39033;&#30446;&#36164;&#26009;\&#19968;&#12289;&#39033;&#30446;&#31867;\2025&#24180;&#32467;&#36716;&#26410;&#23436;&#32467;&#39033;&#30446;-15.&#19996;&#33694;&#26494;&#23665;&#28246;&#20840;&#36807;&#31243;&#32489;&#25928;&#31649;&#29702;&#39033;&#30446;\0.&#24037;&#20316;&#25104;&#26524;\2026&#24180;&#20013;&#26399;&#32489;&#25928;&#35780;&#20215;&#25253;&#21578;&#21644;&#25968;&#25454;\20260810&#29579;&#20462;-&#25253;&#21578;&#21644;&#25968;&#25454;\20260810&#29579;&#20462;-&#32489;&#25928;&#35780;&#20215;&#25253;&#21578;&#21644;&#25968;&#2545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'[20260810王修-绩效评价报告和数据.xlsx]20260810-报告主要绩效图表数据'!$C$5</c:f>
              <c:strCache>
                <c:ptCount val="1"/>
                <c:pt idx="0">
                  <c:v>全社会研发投入强度</c:v>
                </c:pt>
              </c:strCache>
            </c:strRef>
          </c:tx>
          <c:spPr>
            <a:ln w="28575" cap="rnd">
              <a:solidFill>
                <a:schemeClr val="accent1"/>
              </a:solidFill>
              <a:round/>
            </a:ln>
            <a:effectLst/>
          </c:spPr>
          <c:marker>
            <c:symbol val="none"/>
          </c:marker>
          <c:dLbls>
            <c:dLbl>
              <c:idx val="0"/>
              <c:layout>
                <c:manualLayout>
                  <c:x val="-0.0627861347285808"/>
                  <c:y val="0.0492307692307692"/>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1"/>
              <c:layout>
                <c:manualLayout>
                  <c:x val="-0.0725964682799215"/>
                  <c:y val="-0.0430769230769231"/>
                </c:manualLayout>
              </c:layout>
              <c:dLblPos val="r"/>
              <c:showLegendKey val="0"/>
              <c:showVal val="1"/>
              <c:showCatName val="0"/>
              <c:showSerName val="0"/>
              <c:showPercent val="0"/>
              <c:showBubbleSize val="0"/>
              <c:extLst>
                <c:ext xmlns:c15="http://schemas.microsoft.com/office/drawing/2012/chart" uri="{CE6537A1-D6FC-4f65-9D91-7224C49458BB}">
                  <c15:layout/>
                </c:ext>
              </c:extLst>
            </c:dLbl>
            <c:dLbl>
              <c:idx val="2"/>
              <c:layout>
                <c:manualLayout>
                  <c:x val="-0.0549378678875082"/>
                  <c:y val="-0.0523076923076923"/>
                </c:manualLayout>
              </c:layout>
              <c:dLblPos val="r"/>
              <c:showLegendKey val="0"/>
              <c:showVal val="1"/>
              <c:showCatName val="0"/>
              <c:showSerName val="0"/>
              <c:showPercent val="0"/>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400" b="0" i="0" u="none" strike="noStrike" kern="1200" baseline="0">
                    <a:solidFill>
                      <a:srgbClr val="FF0000"/>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'[20260810王修-绩效评价报告和数据.xlsx]20260810-报告主要绩效图表数据'!$B$6:$B$8</c:f>
              <c:strCache>
                <c:ptCount val="3"/>
                <c:pt idx="0">
                  <c:v>2023年</c:v>
                </c:pt>
                <c:pt idx="1">
                  <c:v>2024年</c:v>
                </c:pt>
                <c:pt idx="2">
                  <c:v>2025年</c:v>
                </c:pt>
              </c:strCache>
            </c:strRef>
          </c:cat>
          <c:val>
            <c:numRef>
              <c:f>'[20260810王修-绩效评价报告和数据.xlsx]20260810-报告主要绩效图表数据'!$C$6:$C$8</c:f>
              <c:numCache>
                <c:formatCode>0.00%</c:formatCode>
                <c:ptCount val="3"/>
                <c:pt idx="0">
                  <c:v>0.111</c:v>
                </c:pt>
                <c:pt idx="1">
                  <c:v>0.1167</c:v>
                </c:pt>
                <c:pt idx="2">
                  <c:v>0.1172</c:v>
                </c:pt>
              </c:numCache>
            </c:numRef>
          </c:val>
          <c:smooth val="0"/>
        </c:ser>
        <c:dLbls>
          <c:showLegendKey val="0"/>
          <c:showVal val="1"/>
          <c:showCatName val="0"/>
          <c:showSerName val="0"/>
          <c:showPercent val="0"/>
          <c:showBubbleSize val="0"/>
        </c:dLbls>
        <c:marker val="0"/>
        <c:smooth val="0"/>
        <c:axId val="453582219"/>
        <c:axId val="105879630"/>
      </c:lineChart>
      <c:catAx>
        <c:axId val="4535822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105879630"/>
        <c:crosses val="autoZero"/>
        <c:auto val="1"/>
        <c:lblAlgn val="ctr"/>
        <c:lblOffset val="100"/>
        <c:noMultiLvlLbl val="0"/>
      </c:catAx>
      <c:valAx>
        <c:axId val="105879630"/>
        <c:scaling>
          <c:orientation val="minMax"/>
          <c:min val="0.1"/>
        </c:scaling>
        <c:delete val="0"/>
        <c:axPos val="l"/>
        <c:majorGridlines>
          <c:spPr>
            <a:ln w="9525" cap="flat" cmpd="sng" algn="ctr">
              <a:solidFill>
                <a:schemeClr val="lt1">
                  <a:lumMod val="90200"/>
                </a:schemeClr>
              </a:solidFill>
              <a:round/>
            </a:ln>
            <a:effectLst/>
          </c:spPr>
        </c:majorGridlines>
        <c:numFmt formatCode="0.00%"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45358221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单位：亿元</a:t>
            </a:r>
          </a:p>
        </c:rich>
      </c:tx>
      <c:layout>
        <c:manualLayout>
          <c:xMode val="edge"/>
          <c:yMode val="edge"/>
          <c:x val="0.717988196048242"/>
          <c:y val="0.0348101265822785"/>
        </c:manualLayout>
      </c:layout>
      <c:overlay val="0"/>
      <c:spPr>
        <a:noFill/>
        <a:ln>
          <a:noFill/>
        </a:ln>
        <a:effectLst/>
      </c:spPr>
    </c:title>
    <c:autoTitleDeleted val="0"/>
    <c:plotArea>
      <c:layout/>
      <c:barChart>
        <c:barDir val="col"/>
        <c:grouping val="clustered"/>
        <c:varyColors val="0"/>
        <c:ser>
          <c:idx val="0"/>
          <c:order val="0"/>
          <c:tx>
            <c:strRef>
              <c:f>'[20260810王修-绩效评价报告和数据.xlsx]20260810-报告主要绩效图表数据'!$D$5</c:f>
              <c:strCache>
                <c:ptCount val="1"/>
                <c:pt idx="0">
                  <c:v>高新区企业内部研发费用总额（亿元）</c:v>
                </c:pt>
              </c:strCache>
            </c:strRef>
          </c:tx>
          <c:spPr>
            <a:gradFill>
              <a:gsLst>
                <a:gs pos="50000">
                  <a:schemeClr val="accent1"/>
                </a:gs>
                <a:gs pos="0">
                  <a:schemeClr val="accent1">
                    <a:lumMod val="25000"/>
                    <a:lumOff val="75000"/>
                  </a:schemeClr>
                </a:gs>
                <a:gs pos="100000">
                  <a:schemeClr val="accent1">
                    <a:lumMod val="85000"/>
                  </a:schemeClr>
                </a:gs>
              </a:gsLst>
              <a:lin ang="5400000" scaled="1"/>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'[20260810王修-绩效评价报告和数据.xlsx]20260810-报告主要绩效图表数据'!$B$6:$B$8</c:f>
              <c:strCache>
                <c:ptCount val="3"/>
                <c:pt idx="0">
                  <c:v>2023年</c:v>
                </c:pt>
                <c:pt idx="1">
                  <c:v>2024年</c:v>
                </c:pt>
                <c:pt idx="2">
                  <c:v>2025年</c:v>
                </c:pt>
              </c:strCache>
            </c:strRef>
          </c:cat>
          <c:val>
            <c:numRef>
              <c:f>'[20260810王修-绩效评价报告和数据.xlsx]20260810-报告主要绩效图表数据'!$D$6:$D$8</c:f>
              <c:numCache>
                <c:formatCode>General</c:formatCode>
                <c:ptCount val="3"/>
                <c:pt idx="0">
                  <c:v>191</c:v>
                </c:pt>
                <c:pt idx="1">
                  <c:v>251</c:v>
                </c:pt>
                <c:pt idx="2">
                  <c:v>256</c:v>
                </c:pt>
              </c:numCache>
            </c:numRef>
          </c:val>
        </c:ser>
        <c:dLbls>
          <c:showLegendKey val="0"/>
          <c:showVal val="1"/>
          <c:showCatName val="0"/>
          <c:showSerName val="0"/>
          <c:showPercent val="0"/>
          <c:showBubbleSize val="0"/>
        </c:dLbls>
        <c:gapWidth val="246"/>
        <c:overlap val="-28"/>
        <c:axId val="965867889"/>
        <c:axId val="737714985"/>
      </c:barChart>
      <c:catAx>
        <c:axId val="96586788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1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737714985"/>
        <c:crosses val="autoZero"/>
        <c:auto val="1"/>
        <c:lblAlgn val="ctr"/>
        <c:lblOffset val="100"/>
        <c:noMultiLvlLbl val="0"/>
      </c:catAx>
      <c:valAx>
        <c:axId val="737714985"/>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586788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40" b="1"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t>单位：亿元</a:t>
            </a:r>
            <a:endParaRPr lang="en-US" altLang="zh-CN"/>
          </a:p>
        </c:rich>
      </c:tx>
      <c:layout>
        <c:manualLayout>
          <c:xMode val="edge"/>
          <c:yMode val="edge"/>
          <c:x val="0.728564459080376"/>
          <c:y val="0.0154905335628227"/>
        </c:manualLayout>
      </c:layout>
      <c:overlay val="0"/>
      <c:spPr>
        <a:noFill/>
        <a:ln>
          <a:noFill/>
        </a:ln>
        <a:effectLst/>
      </c:spPr>
    </c:title>
    <c:autoTitleDeleted val="0"/>
    <c:plotArea>
      <c:layout/>
      <c:barChart>
        <c:barDir val="col"/>
        <c:grouping val="clustered"/>
        <c:varyColors val="0"/>
        <c:ser>
          <c:idx val="0"/>
          <c:order val="0"/>
          <c:tx>
            <c:strRef>
              <c:f>'[20260810王修-绩效评价报告和数据.xlsx]20260810-报告主要绩效图表数据'!$D$55</c:f>
              <c:strCache>
                <c:ptCount val="1"/>
                <c:pt idx="0">
                  <c:v>年度完成技术开发、技术转让和技术许可合同技术交易额（万元）</c:v>
                </c:pt>
              </c:strCache>
            </c:strRef>
          </c:tx>
          <c:spPr>
            <a:gradFill>
              <a:gsLst>
                <a:gs pos="50000">
                  <a:schemeClr val="accent1"/>
                </a:gs>
                <a:gs pos="0">
                  <a:schemeClr val="accent1">
                    <a:lumMod val="25000"/>
                    <a:lumOff val="75000"/>
                  </a:schemeClr>
                </a:gs>
                <a:gs pos="100000">
                  <a:schemeClr val="accent1">
                    <a:lumMod val="85000"/>
                  </a:schemeClr>
                </a:gs>
              </a:gsLst>
              <a:lin ang="5400000" scaled="1"/>
            </a:gra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trendline>
            <c:spPr>
              <a:ln w="19050" cap="rnd">
                <a:solidFill>
                  <a:schemeClr val="accent1"/>
                </a:solidFill>
                <a:prstDash val="sysDot"/>
              </a:ln>
              <a:effectLst/>
            </c:spPr>
            <c:trendlineType val="linear"/>
            <c:dispRSqr val="0"/>
            <c:dispEq val="0"/>
          </c:trendline>
          <c:cat>
            <c:strRef>
              <c:f>'[20260810王修-绩效评价报告和数据.xlsx]20260810-报告主要绩效图表数据'!$C$56:$C$58</c:f>
              <c:strCache>
                <c:ptCount val="3"/>
                <c:pt idx="0">
                  <c:v>2023年</c:v>
                </c:pt>
                <c:pt idx="1">
                  <c:v>2024年</c:v>
                </c:pt>
                <c:pt idx="2">
                  <c:v>2025年</c:v>
                </c:pt>
              </c:strCache>
            </c:strRef>
          </c:cat>
          <c:val>
            <c:numRef>
              <c:f>'[20260810王修-绩效评价报告和数据.xlsx]20260810-报告主要绩效图表数据'!$D$56:$D$58</c:f>
              <c:numCache>
                <c:formatCode>General</c:formatCode>
                <c:ptCount val="3"/>
                <c:pt idx="0">
                  <c:v>62.87</c:v>
                </c:pt>
                <c:pt idx="1">
                  <c:v>75.17</c:v>
                </c:pt>
                <c:pt idx="2">
                  <c:v>81.16</c:v>
                </c:pt>
              </c:numCache>
            </c:numRef>
          </c:val>
        </c:ser>
        <c:dLbls>
          <c:showLegendKey val="0"/>
          <c:showVal val="1"/>
          <c:showCatName val="0"/>
          <c:showSerName val="0"/>
          <c:showPercent val="0"/>
          <c:showBubbleSize val="0"/>
        </c:dLbls>
        <c:gapWidth val="246"/>
        <c:overlap val="-28"/>
        <c:axId val="651494612"/>
        <c:axId val="620338866"/>
      </c:barChart>
      <c:catAx>
        <c:axId val="6514946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12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620338866"/>
        <c:crosses val="autoZero"/>
        <c:auto val="1"/>
        <c:lblAlgn val="ctr"/>
        <c:lblOffset val="100"/>
        <c:noMultiLvlLbl val="0"/>
      </c:catAx>
      <c:valAx>
        <c:axId val="620338866"/>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1200" b="0" i="0" u="none" strike="noStrike" kern="1200" baseline="0">
                <a:solidFill>
                  <a:schemeClr val="tx1">
                    <a:lumMod val="65000"/>
                    <a:lumOff val="3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crossAx val="6514946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1200">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'[20260810王修-绩效评价报告和数据.xlsx]20260810-报告主要绩效图表数据'!$C$64</c:f>
              <c:strCache>
                <c:ptCount val="1"/>
                <c:pt idx="0">
                  <c:v>活动覆盖人数</c:v>
                </c:pt>
              </c:strCache>
            </c:strRef>
          </c:tx>
          <c:spPr/>
          <c:explosion val="0"/>
          <c:dPt>
            <c:idx val="0"/>
            <c:bubble3D val="0"/>
            <c:spPr>
              <a:gradFill>
                <a:gsLst>
                  <a:gs pos="50000">
                    <a:schemeClr val="accent1"/>
                  </a:gs>
                  <a:gs pos="0">
                    <a:schemeClr val="accent1">
                      <a:lumMod val="25000"/>
                      <a:lumOff val="75000"/>
                    </a:schemeClr>
                  </a:gs>
                  <a:gs pos="100000">
                    <a:schemeClr val="accent1">
                      <a:lumMod val="85000"/>
                    </a:schemeClr>
                  </a:gs>
                </a:gsLst>
                <a:lin ang="5400000" scaled="1"/>
              </a:gradFill>
              <a:ln>
                <a:solidFill>
                  <a:schemeClr val="bg1"/>
                </a:solidFill>
              </a:ln>
              <a:effectLst/>
            </c:spPr>
          </c:dPt>
          <c:dPt>
            <c:idx val="1"/>
            <c:bubble3D val="0"/>
            <c:spPr>
              <a:gradFill>
                <a:gsLst>
                  <a:gs pos="50000">
                    <a:schemeClr val="accent2"/>
                  </a:gs>
                  <a:gs pos="0">
                    <a:schemeClr val="accent2">
                      <a:lumMod val="25000"/>
                      <a:lumOff val="75000"/>
                    </a:schemeClr>
                  </a:gs>
                  <a:gs pos="100000">
                    <a:schemeClr val="accent2">
                      <a:lumMod val="85000"/>
                    </a:schemeClr>
                  </a:gs>
                </a:gsLst>
                <a:lin ang="5400000" scaled="1"/>
              </a:gradFill>
              <a:ln>
                <a:solidFill>
                  <a:schemeClr val="bg1"/>
                </a:solidFill>
              </a:ln>
              <a:effectLst/>
            </c:spPr>
          </c:dPt>
          <c:dPt>
            <c:idx val="2"/>
            <c:bubble3D val="0"/>
            <c:spPr>
              <a:solidFill>
                <a:schemeClr val="bg2"/>
              </a:solidFill>
              <a:ln>
                <a:solidFill>
                  <a:schemeClr val="bg1"/>
                </a:solidFill>
              </a:ln>
              <a:effectLst/>
            </c:spPr>
          </c:dPt>
          <c:dPt>
            <c:idx val="3"/>
            <c:bubble3D val="0"/>
            <c:spPr>
              <a:gradFill>
                <a:gsLst>
                  <a:gs pos="50000">
                    <a:schemeClr val="accent4"/>
                  </a:gs>
                  <a:gs pos="0">
                    <a:schemeClr val="accent4">
                      <a:lumMod val="25000"/>
                      <a:lumOff val="75000"/>
                    </a:schemeClr>
                  </a:gs>
                  <a:gs pos="100000">
                    <a:schemeClr val="accent4">
                      <a:lumMod val="85000"/>
                    </a:schemeClr>
                  </a:gs>
                </a:gsLst>
                <a:lin ang="5400000" scaled="1"/>
              </a:gradFill>
              <a:ln>
                <a:solidFill>
                  <a:schemeClr val="bg1"/>
                </a:solidFill>
              </a:ln>
              <a:effectLst/>
            </c:spPr>
          </c:dPt>
          <c:dLbls>
            <c:dLbl>
              <c:idx val="0"/>
              <c:layout>
                <c:manualLayout>
                  <c:x val="-0.208227841641626"/>
                  <c:y val="0.0831203745133949"/>
                </c:manualLayout>
              </c:layout>
              <c:tx>
                <c:rich>
                  <a:bodyPr rot="0" spcFirstLastPara="0" vertOverflow="ellipsis" vert="horz" wrap="square" lIns="38100" tIns="19050" rIns="38100" bIns="19050" anchor="ctr" anchorCtr="1"/>
                  <a:lstStyle/>
                  <a:p>
                    <a:pPr defTabSz="914400">
                      <a:defRPr lang="zh-CN" sz="11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1100"/>
                      <a:t>科普作品</a:t>
                    </a:r>
                    <a:endParaRPr sz="1100"/>
                  </a:p>
                  <a:p>
                    <a:pPr defTabSz="914400">
                      <a:defRPr lang="zh-CN" sz="11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1100"/>
                      <a:t>4000人，</a:t>
                    </a:r>
                    <a:r>
                      <a:rPr lang="en-US" altLang="zh-CN" sz="1100"/>
                      <a:t>30.83</a:t>
                    </a:r>
                    <a:r>
                      <a:rPr sz="1100"/>
                      <a:t>%</a:t>
                    </a:r>
                    <a:endParaRPr sz="1100"/>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0561337228315689"/>
                  <c:y val="-0.195413866559497"/>
                </c:manualLayout>
              </c:layout>
              <c:tx>
                <c:rich>
                  <a:bodyPr rot="0" spcFirstLastPara="0" vertOverflow="ellipsis" vert="horz" wrap="square" lIns="38100" tIns="19050" rIns="38100" bIns="19050" anchor="ctr" anchorCtr="1"/>
                  <a:lstStyle/>
                  <a:p>
                    <a:pPr defTabSz="914400">
                      <a:defRPr lang="zh-CN" sz="11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1100"/>
                      <a:t>立项委托类活动, 5582人, 43</a:t>
                    </a:r>
                    <a:r>
                      <a:rPr lang="en-US" altLang="zh-CN" sz="1100"/>
                      <a:t>.03</a:t>
                    </a:r>
                    <a:r>
                      <a:rPr sz="1100"/>
                      <a:t>%</a:t>
                    </a:r>
                    <a:endParaRPr sz="1100"/>
                  </a:p>
                </c:rich>
              </c:tx>
              <c:dLblPos val="bestFit"/>
              <c:showLegendKey val="0"/>
              <c:showVal val="1"/>
              <c:showCatName val="1"/>
              <c:showSerName val="0"/>
              <c:showPercent val="1"/>
              <c:showBubbleSize val="0"/>
              <c:extLst>
                <c:ext xmlns:c15="http://schemas.microsoft.com/office/drawing/2012/chart" uri="{CE6537A1-D6FC-4f65-9D91-7224C49458BB}">
                  <c15:layout>
                    <c:manualLayout>
                      <c:w val="0.25980331134072"/>
                      <c:h val="0.173018033344675"/>
                    </c:manualLayout>
                  </c15:layout>
                </c:ext>
              </c:extLst>
            </c:dLbl>
            <c:dLbl>
              <c:idx val="2"/>
              <c:layout>
                <c:manualLayout>
                  <c:x val="0.155526069362417"/>
                  <c:y val="0.0573229259289182"/>
                </c:manualLayout>
              </c:layout>
              <c:tx>
                <c:rich>
                  <a:bodyPr rot="0" spcFirstLastPara="0" vertOverflow="ellipsis" vert="horz" wrap="square" lIns="38100" tIns="19050" rIns="38100" bIns="19050" anchor="ctr" anchorCtr="1"/>
                  <a:lstStyle/>
                  <a:p>
                    <a:pPr defTabSz="914400">
                      <a:defRPr lang="zh-CN" sz="11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1100"/>
                      <a:t>无偿支持类活动, 952人, 7</a:t>
                    </a:r>
                    <a:r>
                      <a:rPr lang="en-US" altLang="zh-CN" sz="1100"/>
                      <a:t>.34</a:t>
                    </a:r>
                    <a:r>
                      <a:rPr sz="1100"/>
                      <a:t>%</a:t>
                    </a:r>
                    <a:endParaRPr sz="1100"/>
                  </a:p>
                </c:rich>
              </c:tx>
              <c:dLblPos val="bestFit"/>
              <c:showLegendKey val="0"/>
              <c:showVal val="1"/>
              <c:showCatName val="1"/>
              <c:showSerName val="0"/>
              <c:showPercent val="1"/>
              <c:showBubbleSize val="0"/>
              <c:extLst>
                <c:ext xmlns:c15="http://schemas.microsoft.com/office/drawing/2012/chart" uri="{CE6537A1-D6FC-4f65-9D91-7224C49458BB}">
                  <c15:layout>
                    <c:manualLayout>
                      <c:w val="0.232914228806174"/>
                      <c:h val="0.108200068050357"/>
                    </c:manualLayout>
                  </c15:layout>
                </c:ext>
              </c:extLst>
            </c:dLbl>
            <c:dLbl>
              <c:idx val="3"/>
              <c:layout>
                <c:manualLayout>
                  <c:x val="0.151115698400699"/>
                  <c:y val="0.115771443551867"/>
                </c:manualLayout>
              </c:layout>
              <c:tx>
                <c:rich>
                  <a:bodyPr rot="0" spcFirstLastPara="0" vertOverflow="ellipsis" vert="horz" wrap="square" lIns="38100" tIns="19050" rIns="38100" bIns="19050" anchor="ctr" anchorCtr="1"/>
                  <a:lstStyle/>
                  <a:p>
                    <a:pPr defTabSz="914400">
                      <a:defRPr lang="zh-CN" sz="11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1100"/>
                      <a:t>自发公益类活动</a:t>
                    </a:r>
                    <a:endParaRPr sz="1100"/>
                  </a:p>
                  <a:p>
                    <a:pPr defTabSz="914400">
                      <a:defRPr lang="zh-CN" sz="11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r>
                      <a:rPr sz="1100"/>
                      <a:t>2439人, 1</a:t>
                    </a:r>
                    <a:r>
                      <a:rPr lang="en-US" altLang="zh-CN" sz="1100"/>
                      <a:t>8.80</a:t>
                    </a:r>
                    <a:r>
                      <a:rPr sz="1100"/>
                      <a:t>%</a:t>
                    </a:r>
                    <a:endParaRPr sz="1100"/>
                  </a:p>
                </c:rich>
              </c:tx>
              <c:dLblPos val="bestFit"/>
              <c:showLegendKey val="0"/>
              <c:showVal val="1"/>
              <c:showCatName val="1"/>
              <c:showSerName val="0"/>
              <c:showPercent val="1"/>
              <c:showBubbleSize val="0"/>
              <c:extLst>
                <c:ext xmlns:c15="http://schemas.microsoft.com/office/drawing/2012/chart" uri="{CE6537A1-D6FC-4f65-9D91-7224C49458BB}">
                  <c15:layout>
                    <c:manualLayout>
                      <c:w val="0.236026391136562"/>
                      <c:h val="0.206192582511058"/>
                    </c:manualLayout>
                  </c15:layout>
                </c:ext>
              </c:extLst>
            </c:dLbl>
            <c:spPr>
              <a:noFill/>
              <a:ln>
                <a:noFill/>
              </a:ln>
              <a:effectLst/>
            </c:spPr>
            <c:txPr>
              <a:bodyPr rot="0" spcFirstLastPara="0" vertOverflow="ellipsis" vert="horz" wrap="square" lIns="38100" tIns="19050" rIns="38100" bIns="19050" anchor="ctr" anchorCtr="1"/>
              <a:lstStyle/>
              <a:p>
                <a:pPr>
                  <a:defRPr lang="zh-CN" sz="1100" b="0" i="0" u="none" strike="noStrike" kern="1200" baseline="0">
                    <a:solidFill>
                      <a:schemeClr val="tx1">
                        <a:lumMod val="75000"/>
                        <a:lumOff val="25000"/>
                      </a:schemeClr>
                    </a:solidFill>
                    <a:latin typeface="Times New Roman" panose="02020603050405020304" charset="0"/>
                    <a:ea typeface="Times New Roman" panose="02020603050405020304" charset="0"/>
                    <a:cs typeface="Times New Roman" panose="02020603050405020304" charset="0"/>
                    <a:sym typeface="Times New Roman" panose="02020603050405020304" charset="0"/>
                  </a:defRPr>
                </a:pPr>
              </a:p>
            </c:txPr>
            <c:dLblPos val="in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'[20260810王修-绩效评价报告和数据.xlsx]20260810-报告主要绩效图表数据'!$B$65:$B$68</c:f>
              <c:strCache>
                <c:ptCount val="4"/>
                <c:pt idx="0">
                  <c:v>科普作品</c:v>
                </c:pt>
                <c:pt idx="1">
                  <c:v>立项委托类活动</c:v>
                </c:pt>
                <c:pt idx="2">
                  <c:v>无偿支持类活动</c:v>
                </c:pt>
                <c:pt idx="3">
                  <c:v>自发公益类活动</c:v>
                </c:pt>
              </c:strCache>
            </c:strRef>
          </c:cat>
          <c:val>
            <c:numRef>
              <c:f>'[20260810王修-绩效评价报告和数据.xlsx]20260810-报告主要绩效图表数据'!$C$65:$C$68</c:f>
              <c:numCache>
                <c:formatCode>General</c:formatCode>
                <c:ptCount val="4"/>
                <c:pt idx="0">
                  <c:v>4000</c:v>
                </c:pt>
                <c:pt idx="1">
                  <c:v>5582</c:v>
                </c:pt>
                <c:pt idx="2">
                  <c:v>952</c:v>
                </c:pt>
                <c:pt idx="3">
                  <c:v>2439</c:v>
                </c:pt>
              </c:numCache>
            </c:numRef>
          </c:val>
        </c:ser>
        <c:ser>
          <c:idx val="1"/>
          <c:order val="1"/>
          <c:tx>
            <c:strRef>
              <c:f>'[20260810王修-绩效评价报告和数据.xlsx]20260810-报告主要绩效图表数据'!$D$64</c:f>
              <c:strCache>
                <c:ptCount val="1"/>
                <c:pt idx="0">
                  <c:v>活动覆盖人数占比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'[20260810王修-绩效评价报告和数据.xlsx]20260810-报告主要绩效图表数据'!$B$65:$B$68</c:f>
              <c:strCache>
                <c:ptCount val="4"/>
                <c:pt idx="0">
                  <c:v>科普作品</c:v>
                </c:pt>
                <c:pt idx="1">
                  <c:v>立项委托类活动</c:v>
                </c:pt>
                <c:pt idx="2">
                  <c:v>无偿支持类活动</c:v>
                </c:pt>
                <c:pt idx="3">
                  <c:v>自发公益类活动</c:v>
                </c:pt>
              </c:strCache>
            </c:strRef>
          </c:cat>
          <c:val>
            <c:numRef>
              <c:f>'[20260810王修-绩效评价报告和数据.xlsx]20260810-报告主要绩效图表数据'!$D$65:$D$68</c:f>
              <c:numCache>
                <c:formatCode>0.00%</c:formatCode>
                <c:ptCount val="4"/>
                <c:pt idx="0">
                  <c:v>0.30833269097356</c:v>
                </c:pt>
                <c:pt idx="1">
                  <c:v>0.430278270253604</c:v>
                </c:pt>
                <c:pt idx="2">
                  <c:v>0.0733831804517074</c:v>
                </c:pt>
                <c:pt idx="3">
                  <c:v>0.188005858321129</c:v>
                </c:pt>
              </c:numCache>
            </c:numRef>
          </c:val>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11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28">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0">
      <cs:styleClr val="auto"/>
    </cs:fillRef>
    <cs:effectRef idx="0"/>
    <cs:fontRef idx="minor">
      <a:schemeClr val="dk1"/>
    </cs:fontRef>
    <cs:spPr>
      <a:ln w="28575" cap="rnd">
        <a:solidFill>
          <a:schemeClr val="phClr"/>
        </a:solidFill>
        <a:round/>
      </a:ln>
      <a:effectLst/>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fd9d9ef-835a-4ad1-a65f-17e93887e465}">
  <ds:schemaRefs/>
</ds:datastoreItem>
</file>

<file path=docProps/app.xml><?xml version="1.0" encoding="utf-8"?>
<Properties xmlns="http://schemas.openxmlformats.org/officeDocument/2006/extended-properties" xmlns:vt="http://schemas.openxmlformats.org/officeDocument/2006/docPropsVTypes">
  <Template>Normal.dotm</Template>
  <Pages>44</Pages>
  <Words>1875</Words>
  <Characters>1960</Characters>
  <Lines>0</Lines>
  <Paragraphs>0</Paragraphs>
  <TotalTime>169</TotalTime>
  <ScaleCrop>false</ScaleCrop>
  <LinksUpToDate>false</LinksUpToDate>
  <CharactersWithSpaces>2023</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2026-06-30T19:27:00Z</dcterms:created>
  <dc:creator>25217</dc:creator>
  <cp:lastModifiedBy>孙辉</cp:lastModifiedBy>
  <dcterms:modified xsi:type="dcterms:W3CDTF">2026-10-14T08:59:29Z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KSOTemplateDocerSaveRecord">
    <vt:lpwstr>eyJoZGlkIjoiOGZmNWE3OTQyNjEzNDU2NWYwYTMyM2M0N2JkMjIzMTIiLCJ1c2VySWQiOiIzMjQxMDQ4NDgifQ==</vt:lpwstr>
  </property>
  <property fmtid="{D5CDD505-2E9C-101B-9397-08002B2CF9AE}" pid="4" name="ICV">
    <vt:lpwstr>A75D2320917AD50AFDED8C6A68E3885F_43</vt:lpwstr>
  </property>
</Properties>
</file>